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1D8" w:rsidRPr="00DC04BA" w:rsidRDefault="001F41D8" w:rsidP="00F4716F">
      <w:pPr>
        <w:jc w:val="center"/>
      </w:pPr>
      <w:r w:rsidRPr="00DC04BA">
        <w:rPr>
          <w:b/>
        </w:rPr>
        <w:t xml:space="preserve">IN THE DISTRICT COURT OF HARRIS COUNTY TEXAS </w:t>
      </w:r>
      <w:bookmarkStart w:id="0" w:name="_GoBack"/>
      <w:bookmarkEnd w:id="0"/>
      <w:r w:rsidRPr="00DC04BA">
        <w:br/>
      </w:r>
      <w:r w:rsidRPr="00DC04BA">
        <w:rPr>
          <w:b/>
        </w:rPr>
        <w:t>[1</w:t>
      </w:r>
      <w:r w:rsidR="006D1158" w:rsidRPr="00DC04BA">
        <w:rPr>
          <w:b/>
        </w:rPr>
        <w:t>51</w:t>
      </w:r>
      <w:r w:rsidR="006D1158" w:rsidRPr="00DC04BA">
        <w:rPr>
          <w:b/>
          <w:vertAlign w:val="superscript"/>
        </w:rPr>
        <w:t>st</w:t>
      </w:r>
      <w:r w:rsidR="006D1158" w:rsidRPr="00DC04BA">
        <w:rPr>
          <w:b/>
        </w:rPr>
        <w:t xml:space="preserve"> </w:t>
      </w:r>
      <w:r w:rsidRPr="00DC04BA">
        <w:rPr>
          <w:b/>
        </w:rPr>
        <w:t>JUDICIAL DISTRICT]</w:t>
      </w:r>
    </w:p>
    <w:p w:rsidR="00D653E0" w:rsidRPr="00DC04BA" w:rsidRDefault="001F41D8" w:rsidP="001F41D8">
      <w:r w:rsidRPr="00DC04BA">
        <w:rPr>
          <w:b/>
        </w:rPr>
        <w:t>Candace Louise Curtis,</w:t>
      </w:r>
      <w:r w:rsidRPr="00DC04BA">
        <w:br/>
        <w:t>  </w:t>
      </w:r>
      <w:r w:rsidRPr="00DC04BA">
        <w:tab/>
        <w:t>Petitioner pro se,</w:t>
      </w:r>
      <w:r w:rsidRPr="00DC04BA">
        <w:br/>
        <w:t>v.</w:t>
      </w:r>
      <w:r w:rsidRPr="00DC04BA">
        <w:br/>
        <w:t>Carl Henry Brunsting, Individually and as Independent</w:t>
      </w:r>
      <w:r w:rsidR="004051A1" w:rsidRPr="00DC04BA">
        <w:t xml:space="preserve"> </w:t>
      </w:r>
      <w:r w:rsidRPr="00DC04BA">
        <w:t>Executor of the Estates of Elmer H. Brunsting and Nelva E. Brunsting</w:t>
      </w:r>
    </w:p>
    <w:p w:rsidR="00F4716F" w:rsidRPr="00DC04BA" w:rsidRDefault="001F41D8" w:rsidP="001F41D8">
      <w:pPr>
        <w:pBdr>
          <w:bottom w:val="single" w:sz="12" w:space="1" w:color="auto"/>
        </w:pBdr>
      </w:pPr>
      <w:r w:rsidRPr="00DC04BA">
        <w:tab/>
        <w:t>Respondent</w:t>
      </w:r>
    </w:p>
    <w:p w:rsidR="001F41D8" w:rsidRPr="00DC04BA" w:rsidRDefault="004051A1" w:rsidP="00F4716F">
      <w:r w:rsidRPr="00DC04BA">
        <w:t xml:space="preserve">PETITION FOR </w:t>
      </w:r>
      <w:r w:rsidR="006D2DD7" w:rsidRPr="00DC04BA">
        <w:t xml:space="preserve">SUMMARY AND </w:t>
      </w:r>
      <w:r w:rsidRPr="00DC04BA">
        <w:t>DECLARATORY JUDGMENT TO DECLARE ACTIONS IN THE STATUTORY PROBATE COURT VOID AB INITIO FOR WANT OF SUBJECT MATTER JURISDICTION</w:t>
      </w:r>
    </w:p>
    <w:p w:rsidR="004051A1" w:rsidRPr="00DC04BA" w:rsidRDefault="004051A1" w:rsidP="001F41D8"/>
    <w:p w:rsidR="004051A1" w:rsidRPr="00DC04BA" w:rsidRDefault="004051A1" w:rsidP="004051A1">
      <w:r w:rsidRPr="00DC04BA">
        <w:rPr>
          <w:b/>
        </w:rPr>
        <w:t>TO THE HONORABLE JUDGE OF SAID COURT:</w:t>
      </w:r>
    </w:p>
    <w:p w:rsidR="004051A1" w:rsidRPr="00DC04BA" w:rsidRDefault="004051A1" w:rsidP="00F732C2">
      <w:pPr>
        <w:pStyle w:val="NormalIndent"/>
      </w:pPr>
      <w:r w:rsidRPr="00DC04BA">
        <w:t xml:space="preserve">Plaintiff Candace Louise Curtis pro se, </w:t>
      </w:r>
      <w:r w:rsidR="005D34DD" w:rsidRPr="00DC04BA">
        <w:t xml:space="preserve">by special appearance </w:t>
      </w:r>
      <w:r w:rsidRPr="00DC04BA">
        <w:t xml:space="preserve">files this Petition for Declaratory </w:t>
      </w:r>
      <w:r w:rsidR="003108EE" w:rsidRPr="00DC04BA">
        <w:t xml:space="preserve">Relief </w:t>
      </w:r>
      <w:r w:rsidRPr="00DC04BA">
        <w:t xml:space="preserve">to declare actions in Harris County </w:t>
      </w:r>
      <w:r w:rsidR="0051508C" w:rsidRPr="00DC04BA">
        <w:t xml:space="preserve">Statutory Probate Court No. 4 </w:t>
      </w:r>
      <w:r w:rsidRPr="00DC04BA">
        <w:t>void ab initio for want of subject matter jurisdiction and in sup</w:t>
      </w:r>
      <w:r w:rsidR="0051508C" w:rsidRPr="00DC04BA">
        <w:t>port thereof, states as follows:</w:t>
      </w:r>
    </w:p>
    <w:p w:rsidR="003108EE" w:rsidRPr="00DC04BA" w:rsidRDefault="003108EE" w:rsidP="00F732C2">
      <w:pPr>
        <w:pStyle w:val="Heading1"/>
        <w:rPr>
          <w:sz w:val="24"/>
          <w:szCs w:val="24"/>
        </w:rPr>
      </w:pPr>
      <w:r w:rsidRPr="00DC04BA">
        <w:rPr>
          <w:sz w:val="24"/>
          <w:szCs w:val="24"/>
        </w:rPr>
        <w:t>Jurisdiction</w:t>
      </w:r>
    </w:p>
    <w:p w:rsidR="003108EE" w:rsidRPr="00DC04BA" w:rsidRDefault="008B2EF2" w:rsidP="008B2EF2">
      <w:pPr>
        <w:pStyle w:val="NormalIndent"/>
      </w:pPr>
      <w:r w:rsidRPr="00DC04BA">
        <w:t>The jurisdiction of this court is invoked pursuant to the authority provided by Article V, Section 8, of the Texas Constitution</w:t>
      </w:r>
      <w:r w:rsidR="00F732C2" w:rsidRPr="00DC04BA">
        <w:t>; Section 115.001 of the Texas Property Code and</w:t>
      </w:r>
      <w:r w:rsidRPr="00DC04BA">
        <w:t xml:space="preserve"> as a court of equity pursuant to Tex. Govt. Code §24.008, seeking declaratory judgment pursuant to Chapter 37 of the Texas C</w:t>
      </w:r>
      <w:r w:rsidR="00F732C2" w:rsidRPr="00DC04BA">
        <w:t>ivil Practice and Remedies Code</w:t>
      </w:r>
      <w:r w:rsidRPr="00DC04BA">
        <w:t>.</w:t>
      </w:r>
    </w:p>
    <w:p w:rsidR="00556B0A" w:rsidRPr="00DC04BA" w:rsidRDefault="00556B0A" w:rsidP="00F732C2">
      <w:pPr>
        <w:pStyle w:val="Heading1"/>
        <w:rPr>
          <w:sz w:val="24"/>
          <w:szCs w:val="24"/>
        </w:rPr>
      </w:pPr>
      <w:r w:rsidRPr="00DC04BA">
        <w:rPr>
          <w:sz w:val="24"/>
          <w:szCs w:val="24"/>
        </w:rPr>
        <w:t>Relevant Facts</w:t>
      </w:r>
    </w:p>
    <w:p w:rsidR="00555D1A" w:rsidRPr="00DC04BA" w:rsidRDefault="00204C88" w:rsidP="00F732C2">
      <w:pPr>
        <w:pStyle w:val="NormalIndent"/>
      </w:pPr>
      <w:r w:rsidRPr="00DC04BA">
        <w:t>Petitioners’</w:t>
      </w:r>
      <w:r w:rsidR="004051A1" w:rsidRPr="00DC04BA">
        <w:t xml:space="preserve"> parents, Elmer H. </w:t>
      </w:r>
      <w:r w:rsidR="0051508C" w:rsidRPr="00DC04BA">
        <w:t xml:space="preserve">Brunsting </w:t>
      </w:r>
      <w:r w:rsidR="004051A1" w:rsidRPr="00DC04BA">
        <w:t xml:space="preserve">and Nelva E. Brunsting, created an estate plan that directed independent administration of </w:t>
      </w:r>
      <w:r w:rsidR="0036095D" w:rsidRPr="00DC04BA">
        <w:t xml:space="preserve">their </w:t>
      </w:r>
      <w:r w:rsidR="004051A1" w:rsidRPr="00DC04BA">
        <w:t>wills</w:t>
      </w:r>
      <w:r w:rsidR="0051508C" w:rsidRPr="00DC04BA">
        <w:t>. T</w:t>
      </w:r>
      <w:r w:rsidR="0036095D" w:rsidRPr="00DC04BA">
        <w:t xml:space="preserve">he sole devisee of </w:t>
      </w:r>
      <w:r w:rsidR="0051508C" w:rsidRPr="00DC04BA">
        <w:t xml:space="preserve">each will </w:t>
      </w:r>
      <w:r w:rsidR="0036095D" w:rsidRPr="00DC04BA">
        <w:t>was their living trust</w:t>
      </w:r>
      <w:r w:rsidR="008B2EF2" w:rsidRPr="00DC04BA">
        <w:t>.</w:t>
      </w:r>
    </w:p>
    <w:p w:rsidR="002D726A" w:rsidRPr="00DC04BA" w:rsidRDefault="002D726A" w:rsidP="005B13A2">
      <w:pPr>
        <w:pStyle w:val="Heading2"/>
      </w:pPr>
      <w:r w:rsidRPr="00DC04BA">
        <w:t>The Estate of Elmer H. Brunsting No. 412248</w:t>
      </w:r>
    </w:p>
    <w:p w:rsidR="002D726A" w:rsidRPr="00DC04BA" w:rsidRDefault="000D409A" w:rsidP="00F732C2">
      <w:pPr>
        <w:pStyle w:val="NormalIndent"/>
      </w:pPr>
      <w:r w:rsidRPr="00DC04BA">
        <w:t xml:space="preserve">Elmer H. Brunsting passed April 1, 2009 [Ex 1-1] </w:t>
      </w:r>
      <w:r w:rsidR="0051508C" w:rsidRPr="00DC04BA">
        <w:t xml:space="preserve">The will of Elmer H. Brunsting was filed </w:t>
      </w:r>
      <w:r w:rsidR="00555D1A" w:rsidRPr="00DC04BA">
        <w:t>in Harris County Probate Court No. 4 on or about April 3, 2012</w:t>
      </w:r>
      <w:r w:rsidR="002D726A" w:rsidRPr="00DC04BA">
        <w:t>. [Ex 1-2]</w:t>
      </w:r>
      <w:r w:rsidR="00AE5D5E" w:rsidRPr="00DC04BA">
        <w:t xml:space="preserve"> </w:t>
      </w:r>
    </w:p>
    <w:p w:rsidR="00555D1A" w:rsidRPr="00DC04BA" w:rsidRDefault="00555D1A" w:rsidP="00F732C2">
      <w:pPr>
        <w:pStyle w:val="NormalIndent"/>
      </w:pPr>
      <w:r w:rsidRPr="00DC04BA">
        <w:t xml:space="preserve">The will of Elmer H. Brunsting was admitted to probate and letters testamentary for independent administration were issued to Carl H. Brunsting on or about August 28, 2012. [Ex 1-3] </w:t>
      </w:r>
    </w:p>
    <w:p w:rsidR="002D726A" w:rsidRPr="00DC04BA" w:rsidRDefault="002D726A" w:rsidP="00F732C2">
      <w:pPr>
        <w:pStyle w:val="NormalIndent"/>
      </w:pPr>
      <w:r w:rsidRPr="00DC04BA">
        <w:t xml:space="preserve">The Inventory Appraisement and List of Claims </w:t>
      </w:r>
      <w:r w:rsidR="000D409A" w:rsidRPr="00DC04BA">
        <w:t xml:space="preserve">in the Estate of Elmer H. Brunsting </w:t>
      </w:r>
      <w:r w:rsidRPr="00DC04BA">
        <w:t>were filed on March 26, 2013 and the Order Approving Inventory was entered April 4, 2013. [Ex 1-4]</w:t>
      </w:r>
    </w:p>
    <w:p w:rsidR="00E36661" w:rsidRPr="00DC04BA" w:rsidRDefault="002D726A" w:rsidP="00F732C2">
      <w:pPr>
        <w:pStyle w:val="NormalIndent"/>
      </w:pPr>
      <w:r w:rsidRPr="00DC04BA">
        <w:t xml:space="preserve">Drop order in the estate of Elmer H. Brunsting was entered April 4, 2013 and the probate was </w:t>
      </w:r>
      <w:r w:rsidR="00464183" w:rsidRPr="00DC04BA">
        <w:t xml:space="preserve">thus </w:t>
      </w:r>
      <w:r w:rsidRPr="00DC04BA">
        <w:t>closed.</w:t>
      </w:r>
      <w:r w:rsidR="00E36661" w:rsidRPr="00DC04BA">
        <w:t xml:space="preserve"> [Ex 1-5] </w:t>
      </w:r>
    </w:p>
    <w:p w:rsidR="002D726A" w:rsidRPr="00DC04BA" w:rsidRDefault="002D726A" w:rsidP="00F4716F">
      <w:pPr>
        <w:pStyle w:val="Heading2"/>
      </w:pPr>
      <w:r w:rsidRPr="00DC04BA">
        <w:t>The Estate of Nelva E. Brunsting No. 412249</w:t>
      </w:r>
    </w:p>
    <w:p w:rsidR="000D409A" w:rsidRPr="00DC04BA" w:rsidRDefault="000D409A" w:rsidP="00F732C2">
      <w:pPr>
        <w:pStyle w:val="NormalIndent"/>
      </w:pPr>
      <w:r w:rsidRPr="00DC04BA">
        <w:lastRenderedPageBreak/>
        <w:t xml:space="preserve">Nelva E. Brunsting passed November 11, 2011 [Ex 2-1]. </w:t>
      </w:r>
      <w:r w:rsidR="002D726A" w:rsidRPr="00DC04BA">
        <w:t xml:space="preserve">The will of Nelva E. Brunsting Ex 2-2] was filed in Harris County Probate Court No. 4 on or about April 3, 2012. </w:t>
      </w:r>
    </w:p>
    <w:p w:rsidR="002D726A" w:rsidRPr="00DC04BA" w:rsidRDefault="00555D1A" w:rsidP="00F732C2">
      <w:pPr>
        <w:pStyle w:val="NormalIndent"/>
      </w:pPr>
      <w:r w:rsidRPr="00DC04BA">
        <w:t xml:space="preserve">The will of Nelva E. Brunsting was admitted to probate and letters testamentary for independent administration were issued to Carl H. Brunsting on or about August 28, 2012. [Ex 2-3]   </w:t>
      </w:r>
    </w:p>
    <w:p w:rsidR="000D409A" w:rsidRPr="00DC04BA" w:rsidRDefault="000D409A" w:rsidP="00F732C2">
      <w:pPr>
        <w:pStyle w:val="NormalIndent"/>
      </w:pPr>
      <w:r w:rsidRPr="00DC04BA">
        <w:t>The Inventory Appraisement and List of Claims in the Estate of Nelva E. Brunsting were filed on March 26, 2013 [Ex 2-4] and the Order Approving Inventory was entered April 4, 2013. [Ex 2-5]</w:t>
      </w:r>
    </w:p>
    <w:p w:rsidR="000D409A" w:rsidRPr="00DC04BA" w:rsidRDefault="000D409A" w:rsidP="00F732C2">
      <w:pPr>
        <w:pStyle w:val="NormalIndent"/>
      </w:pPr>
      <w:r w:rsidRPr="00DC04BA">
        <w:t xml:space="preserve">Drop order in the Nelva E. Brunsting was entered April 4, 2013 and the probate was </w:t>
      </w:r>
      <w:r w:rsidR="00464183" w:rsidRPr="00DC04BA">
        <w:t xml:space="preserve">thus </w:t>
      </w:r>
      <w:r w:rsidRPr="00DC04BA">
        <w:t>closed. [Ex 2-6]</w:t>
      </w:r>
      <w:r w:rsidR="00E36661" w:rsidRPr="00DC04BA">
        <w:t xml:space="preserve"> </w:t>
      </w:r>
    </w:p>
    <w:p w:rsidR="00BA03D7" w:rsidRPr="00DC04BA" w:rsidRDefault="00BA03D7" w:rsidP="005B13A2">
      <w:pPr>
        <w:pStyle w:val="Heading2"/>
      </w:pPr>
      <w:r w:rsidRPr="00DC04BA">
        <w:t>The Estate of Nelva E. Brunsting No. 412249-401</w:t>
      </w:r>
    </w:p>
    <w:p w:rsidR="00F9482F" w:rsidRPr="00DC04BA" w:rsidRDefault="00E36661" w:rsidP="00F732C2">
      <w:pPr>
        <w:pStyle w:val="NormalIndent"/>
      </w:pPr>
      <w:r w:rsidRPr="00DC04BA">
        <w:t xml:space="preserve">On April 9, 2013 </w:t>
      </w:r>
      <w:r w:rsidR="00BA03D7" w:rsidRPr="00DC04BA">
        <w:t xml:space="preserve">Independent Executor Carl Henry Brunsting </w:t>
      </w:r>
      <w:r w:rsidR="00F9482F" w:rsidRPr="00DC04BA">
        <w:t xml:space="preserve">individually and as independent executor of the estates of Elmer H. Brunsting and Nelva E. Brunsting </w:t>
      </w:r>
      <w:r w:rsidR="00BA03D7" w:rsidRPr="00DC04BA">
        <w:t xml:space="preserve">filed a </w:t>
      </w:r>
      <w:r w:rsidR="005178D6" w:rsidRPr="00DC04BA">
        <w:t xml:space="preserve">Petition for Declaratory Judgment, For </w:t>
      </w:r>
      <w:r w:rsidR="00F9482F" w:rsidRPr="00DC04BA">
        <w:t>an</w:t>
      </w:r>
      <w:r w:rsidR="005178D6" w:rsidRPr="00DC04BA">
        <w:t xml:space="preserve"> Accounting, For Damages, For Imposition </w:t>
      </w:r>
      <w:r w:rsidR="00F9482F" w:rsidRPr="00DC04BA">
        <w:t>of a</w:t>
      </w:r>
      <w:r w:rsidR="005178D6" w:rsidRPr="00DC04BA">
        <w:t xml:space="preserve"> Constructive Trust, And </w:t>
      </w:r>
      <w:r w:rsidR="00F9482F" w:rsidRPr="00DC04BA">
        <w:t>for Injunctive Relief,</w:t>
      </w:r>
      <w:r w:rsidR="005178D6" w:rsidRPr="00DC04BA">
        <w:t xml:space="preserve"> Togeth</w:t>
      </w:r>
      <w:r w:rsidR="002006F3" w:rsidRPr="00DC04BA">
        <w:t>er With Request For Disclosures,</w:t>
      </w:r>
      <w:r w:rsidR="00BA03D7" w:rsidRPr="00DC04BA">
        <w:t xml:space="preserve"> [Ex 3-1]</w:t>
      </w:r>
      <w:r w:rsidR="00F9482F" w:rsidRPr="00DC04BA">
        <w:t xml:space="preserve"> in Harris</w:t>
      </w:r>
      <w:r w:rsidR="002006F3" w:rsidRPr="00DC04BA">
        <w:t xml:space="preserve"> County </w:t>
      </w:r>
      <w:r w:rsidR="00F9482F" w:rsidRPr="00DC04BA">
        <w:t xml:space="preserve">Probate Court No. 4. </w:t>
      </w:r>
    </w:p>
    <w:p w:rsidR="00464183" w:rsidRPr="00DC04BA" w:rsidRDefault="00F9482F" w:rsidP="00F732C2">
      <w:pPr>
        <w:pStyle w:val="NormalIndent"/>
      </w:pPr>
      <w:r w:rsidRPr="00DC04BA">
        <w:t xml:space="preserve">Independent Executor Carl Henry Brunsting acting individually and as independent executor of the estates of Elmer H. Brunsting and Nelva E. Brunsting, filed this cause of action pursuant to Chapters 37 of the Texas Civil Practice and Remedies Code </w:t>
      </w:r>
      <w:r w:rsidR="002006F3" w:rsidRPr="00DC04BA">
        <w:t xml:space="preserve">(Declaratory Judgment) </w:t>
      </w:r>
      <w:r w:rsidRPr="00DC04BA">
        <w:t>and Chapter 115 of the</w:t>
      </w:r>
      <w:r w:rsidRPr="00DC04BA">
        <w:rPr>
          <w:u w:val="single"/>
        </w:rPr>
        <w:t xml:space="preserve"> Texas Property Code</w:t>
      </w:r>
      <w:r w:rsidR="00EC4E1F" w:rsidRPr="00DC04BA">
        <w:rPr>
          <w:u w:val="single"/>
        </w:rPr>
        <w:t>.</w:t>
      </w:r>
      <w:r w:rsidR="002006F3" w:rsidRPr="00DC04BA">
        <w:t xml:space="preserve"> (jurisdiction)</w:t>
      </w:r>
      <w:r w:rsidR="00464183" w:rsidRPr="00DC04BA">
        <w:t xml:space="preserve">. </w:t>
      </w:r>
    </w:p>
    <w:p w:rsidR="007D5237" w:rsidRPr="00DC04BA" w:rsidRDefault="007D5237" w:rsidP="006F0DF8">
      <w:pPr>
        <w:pStyle w:val="Heading1"/>
        <w:rPr>
          <w:sz w:val="24"/>
          <w:szCs w:val="24"/>
        </w:rPr>
      </w:pPr>
      <w:r w:rsidRPr="00DC04BA">
        <w:rPr>
          <w:sz w:val="24"/>
          <w:szCs w:val="24"/>
        </w:rPr>
        <w:t>Jurisdiction</w:t>
      </w:r>
      <w:r w:rsidR="006F0DF8" w:rsidRPr="00DC04BA">
        <w:rPr>
          <w:sz w:val="24"/>
          <w:szCs w:val="24"/>
        </w:rPr>
        <w:t xml:space="preserve"> over Inter Vivos Trusts</w:t>
      </w:r>
    </w:p>
    <w:p w:rsidR="003E7767" w:rsidRPr="00DC04BA" w:rsidRDefault="003E7767" w:rsidP="003E7767">
      <w:pPr>
        <w:pStyle w:val="NormalIndent"/>
      </w:pPr>
      <w:r w:rsidRPr="00DC04BA">
        <w:t>Section 115.001 of the Texas Property Code clearly places subject matter jurisdiction in the state district court with only one applicable exception</w:t>
      </w:r>
      <w:r w:rsidR="007D5237" w:rsidRPr="00DC04BA">
        <w:t>:</w:t>
      </w:r>
      <w:r w:rsidRPr="00DC04BA">
        <w:t>(d) “jurisdiction conferred by law on: (1)  a statutory probate court.</w:t>
      </w:r>
    </w:p>
    <w:p w:rsidR="003E7767" w:rsidRPr="00DC04BA" w:rsidRDefault="003E7767" w:rsidP="00B707C4">
      <w:pPr>
        <w:pStyle w:val="Quote"/>
        <w:rPr>
          <w:rFonts w:ascii="Times New Roman" w:hAnsi="Times New Roman"/>
        </w:rPr>
      </w:pPr>
      <w:r w:rsidRPr="00DC04BA">
        <w:rPr>
          <w:rFonts w:ascii="Times New Roman" w:hAnsi="Times New Roman"/>
        </w:rPr>
        <w:t>Sec. 115.001.  JURISDICTION.  (a)  Except as provided by Subsection (d) of this section, a district court has original and exclusive jurisdiction over all proceedings by or against a trustee and all proceedings concerning trusts, including proceedings to:</w:t>
      </w:r>
    </w:p>
    <w:p w:rsidR="003E7767" w:rsidRPr="00DC04BA" w:rsidRDefault="003E7767" w:rsidP="00B707C4">
      <w:pPr>
        <w:pStyle w:val="Quote"/>
        <w:rPr>
          <w:rFonts w:ascii="Times New Roman" w:hAnsi="Times New Roman"/>
        </w:rPr>
      </w:pPr>
      <w:r w:rsidRPr="00DC04BA">
        <w:rPr>
          <w:rFonts w:ascii="Times New Roman" w:hAnsi="Times New Roman"/>
        </w:rPr>
        <w:t>(1)  construe a trust instrument;</w:t>
      </w:r>
    </w:p>
    <w:p w:rsidR="003E7767" w:rsidRPr="00DC04BA" w:rsidRDefault="003E7767" w:rsidP="00B707C4">
      <w:pPr>
        <w:pStyle w:val="Quote"/>
        <w:rPr>
          <w:rFonts w:ascii="Times New Roman" w:hAnsi="Times New Roman"/>
        </w:rPr>
      </w:pPr>
      <w:r w:rsidRPr="00DC04BA">
        <w:rPr>
          <w:rFonts w:ascii="Times New Roman" w:hAnsi="Times New Roman"/>
        </w:rPr>
        <w:t>(2)  determine the law applicable to a trust instrument;</w:t>
      </w:r>
    </w:p>
    <w:p w:rsidR="003E7767" w:rsidRPr="00DC04BA" w:rsidRDefault="003E7767" w:rsidP="00B707C4">
      <w:pPr>
        <w:pStyle w:val="Quote"/>
        <w:rPr>
          <w:rFonts w:ascii="Times New Roman" w:hAnsi="Times New Roman"/>
        </w:rPr>
      </w:pPr>
      <w:r w:rsidRPr="00DC04BA">
        <w:rPr>
          <w:rFonts w:ascii="Times New Roman" w:hAnsi="Times New Roman"/>
        </w:rPr>
        <w:t>(3)  appoint or remove a trustee;</w:t>
      </w:r>
    </w:p>
    <w:p w:rsidR="003E7767" w:rsidRPr="00DC04BA" w:rsidRDefault="003E7767" w:rsidP="00B707C4">
      <w:pPr>
        <w:pStyle w:val="Quote"/>
        <w:rPr>
          <w:rFonts w:ascii="Times New Roman" w:hAnsi="Times New Roman"/>
        </w:rPr>
      </w:pPr>
      <w:r w:rsidRPr="00DC04BA">
        <w:rPr>
          <w:rFonts w:ascii="Times New Roman" w:hAnsi="Times New Roman"/>
        </w:rPr>
        <w:t>(4)  determine the powers, responsibilities, duties, and liability of a trustee;</w:t>
      </w:r>
    </w:p>
    <w:p w:rsidR="003E7767" w:rsidRPr="00DC04BA" w:rsidRDefault="003E7767" w:rsidP="00B707C4">
      <w:pPr>
        <w:pStyle w:val="Quote"/>
        <w:rPr>
          <w:rFonts w:ascii="Times New Roman" w:hAnsi="Times New Roman"/>
        </w:rPr>
      </w:pPr>
      <w:r w:rsidRPr="00DC04BA">
        <w:rPr>
          <w:rFonts w:ascii="Times New Roman" w:hAnsi="Times New Roman"/>
        </w:rPr>
        <w:t>(5)  ascertain beneficiaries;</w:t>
      </w:r>
    </w:p>
    <w:p w:rsidR="003E7767" w:rsidRPr="00DC04BA" w:rsidRDefault="003E7767" w:rsidP="00B707C4">
      <w:pPr>
        <w:pStyle w:val="Quote"/>
        <w:rPr>
          <w:rFonts w:ascii="Times New Roman" w:hAnsi="Times New Roman"/>
        </w:rPr>
      </w:pPr>
      <w:r w:rsidRPr="00DC04BA">
        <w:rPr>
          <w:rFonts w:ascii="Times New Roman" w:hAnsi="Times New Roman"/>
        </w:rPr>
        <w:t>(6)  make determinations of fact affecting the administration, distribution, or duration of a trust;</w:t>
      </w:r>
    </w:p>
    <w:p w:rsidR="003E7767" w:rsidRPr="00DC04BA" w:rsidRDefault="003E7767" w:rsidP="00B707C4">
      <w:pPr>
        <w:pStyle w:val="Quote"/>
        <w:rPr>
          <w:rFonts w:ascii="Times New Roman" w:hAnsi="Times New Roman"/>
        </w:rPr>
      </w:pPr>
      <w:r w:rsidRPr="00DC04BA">
        <w:rPr>
          <w:rFonts w:ascii="Times New Roman" w:hAnsi="Times New Roman"/>
        </w:rPr>
        <w:t>(7)  determine a question arising in the administration or distribution of a trust;</w:t>
      </w:r>
    </w:p>
    <w:p w:rsidR="003E7767" w:rsidRPr="00DC04BA" w:rsidRDefault="003E7767" w:rsidP="00B707C4">
      <w:pPr>
        <w:pStyle w:val="Quote"/>
        <w:rPr>
          <w:rFonts w:ascii="Times New Roman" w:hAnsi="Times New Roman"/>
        </w:rPr>
      </w:pPr>
      <w:r w:rsidRPr="00DC04BA">
        <w:rPr>
          <w:rFonts w:ascii="Times New Roman" w:hAnsi="Times New Roman"/>
        </w:rPr>
        <w:t>(8)  relieve a trustee from any or all of the duties, limitations, and restrictions otherwise existing under the terms of the trust instrument or of this subtitle;</w:t>
      </w:r>
    </w:p>
    <w:p w:rsidR="003E7767" w:rsidRPr="00DC04BA" w:rsidRDefault="003E7767" w:rsidP="00B707C4">
      <w:pPr>
        <w:pStyle w:val="Quote"/>
        <w:rPr>
          <w:rFonts w:ascii="Times New Roman" w:hAnsi="Times New Roman"/>
        </w:rPr>
      </w:pPr>
      <w:r w:rsidRPr="00DC04BA">
        <w:rPr>
          <w:rFonts w:ascii="Times New Roman" w:hAnsi="Times New Roman"/>
        </w:rPr>
        <w:lastRenderedPageBreak/>
        <w:t>(9)  require an accounting by a trustee, review trustee fees, and settle interim or final accounts; and</w:t>
      </w:r>
    </w:p>
    <w:p w:rsidR="003E7767" w:rsidRPr="00DC04BA" w:rsidRDefault="003E7767" w:rsidP="00B707C4">
      <w:pPr>
        <w:pStyle w:val="Quote"/>
        <w:rPr>
          <w:rFonts w:ascii="Times New Roman" w:hAnsi="Times New Roman"/>
        </w:rPr>
      </w:pPr>
      <w:r w:rsidRPr="00DC04BA">
        <w:rPr>
          <w:rFonts w:ascii="Times New Roman" w:hAnsi="Times New Roman"/>
        </w:rPr>
        <w:t>(10)  surcharge a trustee.</w:t>
      </w:r>
    </w:p>
    <w:p w:rsidR="003E7767" w:rsidRPr="00DC04BA" w:rsidRDefault="003E7767" w:rsidP="00B707C4">
      <w:pPr>
        <w:pStyle w:val="Quote"/>
        <w:rPr>
          <w:rFonts w:ascii="Times New Roman" w:hAnsi="Times New Roman"/>
        </w:rPr>
      </w:pPr>
      <w:r w:rsidRPr="00DC04BA">
        <w:rPr>
          <w:rFonts w:ascii="Times New Roman" w:hAnsi="Times New Roman"/>
        </w:rPr>
        <w:t>(a-1)  The list of proceedings described by Subsection (a) over which a district court has exclusive and original jurisdiction is not exhaustive.  A district court has exclusive and original jurisdiction over a proceeding by or against a trustee or a proceeding concerning a trust under Subsection (a) whether or not the proceeding is listed in Subsection (a).</w:t>
      </w:r>
    </w:p>
    <w:p w:rsidR="003E7767" w:rsidRPr="00DC04BA" w:rsidRDefault="003E7767" w:rsidP="00B707C4">
      <w:pPr>
        <w:pStyle w:val="Quote"/>
        <w:rPr>
          <w:rFonts w:ascii="Times New Roman" w:hAnsi="Times New Roman"/>
        </w:rPr>
      </w:pPr>
      <w:r w:rsidRPr="00DC04BA">
        <w:rPr>
          <w:rFonts w:ascii="Times New Roman" w:hAnsi="Times New Roman"/>
        </w:rPr>
        <w:t>(b)  The district court may exercise the powers of a court of equity in matters pertaining to trusts.</w:t>
      </w:r>
    </w:p>
    <w:p w:rsidR="003E7767" w:rsidRPr="00DC04BA" w:rsidRDefault="003E7767" w:rsidP="00B707C4">
      <w:pPr>
        <w:pStyle w:val="Quote"/>
        <w:rPr>
          <w:rFonts w:ascii="Times New Roman" w:hAnsi="Times New Roman"/>
        </w:rPr>
      </w:pPr>
      <w:r w:rsidRPr="00DC04BA">
        <w:rPr>
          <w:rFonts w:ascii="Times New Roman" w:hAnsi="Times New Roman"/>
        </w:rPr>
        <w:t>(c)  The court may intervene in the administration of a trust to the extent that the court's jurisdiction is invoked by an interested person or as otherwise provided by law.  A trust is not subject to continuing judicial supervision unless the court orders continuing judicial supervision.</w:t>
      </w:r>
    </w:p>
    <w:p w:rsidR="003E7767" w:rsidRPr="00DC04BA" w:rsidRDefault="003E7767" w:rsidP="00B707C4">
      <w:pPr>
        <w:pStyle w:val="Quote"/>
        <w:rPr>
          <w:rFonts w:ascii="Times New Roman" w:hAnsi="Times New Roman"/>
        </w:rPr>
      </w:pPr>
      <w:r w:rsidRPr="00DC04BA">
        <w:rPr>
          <w:rFonts w:ascii="Times New Roman" w:hAnsi="Times New Roman"/>
        </w:rPr>
        <w:t>(d)  The jurisdiction of the district court is exclusive except for jurisdiction conferred by law on:</w:t>
      </w:r>
    </w:p>
    <w:p w:rsidR="003E7767" w:rsidRPr="00DC04BA" w:rsidRDefault="003E7767" w:rsidP="00B707C4">
      <w:pPr>
        <w:pStyle w:val="Quote"/>
        <w:rPr>
          <w:rFonts w:ascii="Times New Roman" w:hAnsi="Times New Roman"/>
        </w:rPr>
      </w:pPr>
      <w:r w:rsidRPr="00DC04BA">
        <w:rPr>
          <w:rFonts w:ascii="Times New Roman" w:hAnsi="Times New Roman"/>
        </w:rPr>
        <w:t>(1)  a statutory probate court;</w:t>
      </w:r>
    </w:p>
    <w:p w:rsidR="006F0DF8" w:rsidRPr="00DC04BA" w:rsidRDefault="006F0DF8" w:rsidP="006F0DF8">
      <w:pPr>
        <w:pStyle w:val="Heading1"/>
        <w:rPr>
          <w:sz w:val="24"/>
          <w:szCs w:val="24"/>
        </w:rPr>
      </w:pPr>
      <w:r w:rsidRPr="00DC04BA">
        <w:rPr>
          <w:sz w:val="24"/>
          <w:szCs w:val="24"/>
        </w:rPr>
        <w:t>Statutory Probate Court Jurisdiction</w:t>
      </w:r>
    </w:p>
    <w:p w:rsidR="003E7767" w:rsidRPr="00DC04BA" w:rsidRDefault="003E7767" w:rsidP="00EC4E1F">
      <w:pPr>
        <w:pStyle w:val="NormalIndent"/>
        <w:rPr>
          <w:u w:val="single"/>
        </w:rPr>
      </w:pPr>
      <w:r w:rsidRPr="00DC04BA">
        <w:t>The boundaries of statutory probate jurisdiction are defined by § 25.0021 of the Texas Government Code.</w:t>
      </w:r>
      <w:r w:rsidR="00C16EA3" w:rsidRPr="00DC04BA">
        <w:t xml:space="preserve"> A plain reading of Tex. Gov’t Code § 25.0021 clearly shows that § 25.0021 prevails over any specific provisions for a particular probate court or county that attempts to create jurisdiction in a statutory probate court other than jurisdiction over probate, guardianship, mental health, or eminent domain proceedings. Former Tex. Gov’t Code §25.1034(a) granted statutory probate courts in Harris County jurisdiction over trusts equivalent to that of district courts whether or not there was a pending probate </w:t>
      </w:r>
      <w:r w:rsidR="007D5237" w:rsidRPr="00DC04BA">
        <w:t>however,</w:t>
      </w:r>
      <w:r w:rsidR="00C16EA3" w:rsidRPr="00DC04BA">
        <w:t xml:space="preserve">  </w:t>
      </w:r>
      <w:r w:rsidR="00C16EA3" w:rsidRPr="00DC04BA">
        <w:rPr>
          <w:u w:val="single"/>
        </w:rPr>
        <w:t>Tex. Gov’t Code 25.1034(a)</w:t>
      </w:r>
      <w:r w:rsidR="00C16EA3" w:rsidRPr="00DC04BA">
        <w:t xml:space="preserve"> was repealed and any trust controversies </w:t>
      </w:r>
      <w:r w:rsidR="007D5237" w:rsidRPr="00DC04BA">
        <w:t>over which the statutory probate court</w:t>
      </w:r>
      <w:r w:rsidR="00C16EA3" w:rsidRPr="00DC04BA">
        <w:t xml:space="preserve">s had acquired jurisdiction were required to be transferred to the district court. </w:t>
      </w:r>
      <w:r w:rsidR="00EC4E1F" w:rsidRPr="00DC04BA">
        <w:t xml:space="preserve">The Texas Supreme Court cites to Tex. Gov’t Code § 25.0021 as the statute that defines statutory probate jurisdiction in their opening paragraph on Texas Court jurisdiction </w:t>
      </w:r>
      <w:r w:rsidR="00EC4E1F" w:rsidRPr="00DC04BA">
        <w:rPr>
          <w:u w:val="single"/>
        </w:rPr>
        <w:t>In re United Services Auto. Ass'n, 307 S.W.3d 299 (Tex. 2010)</w:t>
      </w:r>
      <w:r w:rsidR="00AE5D5E" w:rsidRPr="00DC04BA">
        <w:rPr>
          <w:u w:val="single"/>
        </w:rPr>
        <w:t>.</w:t>
      </w:r>
    </w:p>
    <w:p w:rsidR="00EC4E1F" w:rsidRPr="00DC04BA" w:rsidRDefault="00EC4E1F" w:rsidP="00B707C4">
      <w:pPr>
        <w:pStyle w:val="Quote"/>
        <w:rPr>
          <w:rFonts w:ascii="Times New Roman" w:hAnsi="Times New Roman"/>
        </w:rPr>
      </w:pPr>
      <w:r w:rsidRPr="00DC04BA">
        <w:rPr>
          <w:rFonts w:ascii="Times New Roman" w:hAnsi="Times New Roman"/>
        </w:rPr>
        <w:t>“Texas has some 3, 241 trial courts within its 268, 580 square miles.</w:t>
      </w:r>
      <w:r w:rsidR="00916DC9" w:rsidRPr="00DC04BA">
        <w:rPr>
          <w:rFonts w:ascii="Times New Roman" w:hAnsi="Times New Roman"/>
        </w:rPr>
        <w:t xml:space="preserve"> </w:t>
      </w:r>
      <w:r w:rsidRPr="00DC04BA">
        <w:rPr>
          <w:rFonts w:ascii="Times New Roman" w:hAnsi="Times New Roman"/>
        </w:rPr>
        <w:t>Jurisdiction is limited in many of the courts; it is general in others.</w:t>
      </w:r>
      <w:r w:rsidR="00916DC9" w:rsidRPr="00DC04BA">
        <w:rPr>
          <w:rFonts w:ascii="Times New Roman" w:hAnsi="Times New Roman"/>
        </w:rPr>
        <w:t xml:space="preserve"> </w:t>
      </w:r>
      <w:r w:rsidRPr="00DC04BA">
        <w:rPr>
          <w:rFonts w:ascii="Times New Roman" w:hAnsi="Times New Roman"/>
        </w:rPr>
        <w:t>Compare TEX. GOV'T CODE § 25.0021 (describing jurisdiction of</w:t>
      </w:r>
      <w:r w:rsidR="00916DC9" w:rsidRPr="00DC04BA">
        <w:rPr>
          <w:rFonts w:ascii="Times New Roman" w:hAnsi="Times New Roman"/>
        </w:rPr>
        <w:t xml:space="preserve"> </w:t>
      </w:r>
      <w:r w:rsidRPr="00DC04BA">
        <w:rPr>
          <w:rFonts w:ascii="Times New Roman" w:hAnsi="Times New Roman"/>
        </w:rPr>
        <w:t>statutory probate court), with § 24.007-.008 (outlining district court</w:t>
      </w:r>
      <w:r w:rsidR="00916DC9" w:rsidRPr="00DC04BA">
        <w:rPr>
          <w:rFonts w:ascii="Times New Roman" w:hAnsi="Times New Roman"/>
        </w:rPr>
        <w:t xml:space="preserve"> </w:t>
      </w:r>
      <w:r w:rsidRPr="00DC04BA">
        <w:rPr>
          <w:rFonts w:ascii="Times New Roman" w:hAnsi="Times New Roman"/>
        </w:rPr>
        <w:t>jurisdiction); Thomas v. Long, 2</w:t>
      </w:r>
      <w:r w:rsidR="00916DC9" w:rsidRPr="00DC04BA">
        <w:rPr>
          <w:rFonts w:ascii="Times New Roman" w:hAnsi="Times New Roman"/>
        </w:rPr>
        <w:t>07 S.W.3d 334, 340 (Tex. 2006)”</w:t>
      </w:r>
    </w:p>
    <w:p w:rsidR="00464183" w:rsidRPr="00DC04BA" w:rsidRDefault="00464183" w:rsidP="005B13A2">
      <w:pPr>
        <w:pStyle w:val="Heading2"/>
      </w:pPr>
      <w:r w:rsidRPr="00DC04BA">
        <w:t>Limitations</w:t>
      </w:r>
    </w:p>
    <w:p w:rsidR="007D5237" w:rsidRPr="00DC04BA" w:rsidRDefault="007A2CCF" w:rsidP="00F732C2">
      <w:pPr>
        <w:pStyle w:val="NormalIndent"/>
      </w:pPr>
      <w:r w:rsidRPr="00DC04BA">
        <w:t>Elmer H. Brunsting passed April 1, 2009. [Ex 1-1</w:t>
      </w:r>
      <w:r w:rsidRPr="00DC04BA">
        <w:rPr>
          <w:u w:val="single"/>
        </w:rPr>
        <w:t>]</w:t>
      </w:r>
      <w:r w:rsidR="00F732C2" w:rsidRPr="00DC04BA">
        <w:t xml:space="preserve"> </w:t>
      </w:r>
      <w:r w:rsidR="00BD6CB9" w:rsidRPr="00DC04BA">
        <w:rPr>
          <w:u w:val="single"/>
        </w:rPr>
        <w:t>Estates Code § 355.002</w:t>
      </w:r>
      <w:r w:rsidR="00BD6CB9" w:rsidRPr="00DC04BA">
        <w:t xml:space="preserve"> provides: “A claim may be presented to a personal representative of an estate at any time before the estate is closed if suit on the claim has not been barred by the general statutes of limitation.” </w:t>
      </w:r>
      <w:r w:rsidR="00F732C2" w:rsidRPr="00DC04BA">
        <w:t>The statute of limitation</w:t>
      </w:r>
      <w:r w:rsidR="00791ED1" w:rsidRPr="00DC04BA">
        <w:t xml:space="preserve">, </w:t>
      </w:r>
      <w:r w:rsidR="00BD6CB9" w:rsidRPr="00DC04BA">
        <w:rPr>
          <w:u w:val="single"/>
        </w:rPr>
        <w:t>§ 16.004 Texas Civil Practice &amp; Remedies Code</w:t>
      </w:r>
      <w:r w:rsidR="00BD6CB9" w:rsidRPr="00DC04BA">
        <w:t xml:space="preserve">, </w:t>
      </w:r>
      <w:r w:rsidR="00791ED1" w:rsidRPr="00DC04BA">
        <w:t>is</w:t>
      </w:r>
      <w:r w:rsidR="00BD6CB9" w:rsidRPr="00DC04BA">
        <w:t xml:space="preserve"> four years</w:t>
      </w:r>
      <w:r w:rsidR="00791ED1" w:rsidRPr="00DC04BA">
        <w:t>, notwithstanding §402.001 of the Texas Estates Code</w:t>
      </w:r>
      <w:r w:rsidR="00BD6CB9" w:rsidRPr="00DC04BA">
        <w:t xml:space="preserve">. </w:t>
      </w:r>
    </w:p>
    <w:p w:rsidR="00EC4E1F" w:rsidRPr="00DC04BA" w:rsidRDefault="002006F3" w:rsidP="00F732C2">
      <w:pPr>
        <w:pStyle w:val="NormalIndent"/>
      </w:pPr>
      <w:r w:rsidRPr="00DC04BA">
        <w:lastRenderedPageBreak/>
        <w:t xml:space="preserve">The question involved in this case is “what instruments comprise the Brunsting Family Living Trust indenture?” </w:t>
      </w:r>
      <w:r w:rsidR="007D5237" w:rsidRPr="00DC04BA">
        <w:t xml:space="preserve">This question has </w:t>
      </w:r>
      <w:r w:rsidR="00D54B77" w:rsidRPr="00DC04BA">
        <w:t xml:space="preserve">to do with the devisee but </w:t>
      </w:r>
      <w:r w:rsidR="007D5237" w:rsidRPr="00DC04BA">
        <w:t>nothing to do with the estate</w:t>
      </w:r>
      <w:r w:rsidR="001932D8" w:rsidRPr="00DC04BA">
        <w:t>. This question</w:t>
      </w:r>
      <w:r w:rsidR="00DC1F79" w:rsidRPr="00DC04BA">
        <w:t xml:space="preserve"> </w:t>
      </w:r>
      <w:r w:rsidRPr="00DC04BA">
        <w:t>has n</w:t>
      </w:r>
      <w:r w:rsidR="007D5237" w:rsidRPr="00DC04BA">
        <w:t>ever</w:t>
      </w:r>
      <w:r w:rsidRPr="00DC04BA">
        <w:t xml:space="preserve"> been affirmatively answered. None-the-less, </w:t>
      </w:r>
      <w:r w:rsidR="00BD6CB9" w:rsidRPr="00DC04BA">
        <w:t>Independent Executor Carl Henry Brunsting’s April 9, 2013 action missed the four year statute of limitations for bringing claims against or on behalf of the estate of Elmer H. Brunsting by eight days.</w:t>
      </w:r>
      <w:r w:rsidR="00EC4E1F" w:rsidRPr="00DC04BA">
        <w:t xml:space="preserve"> According to the claim docket, required by Tex. Est. Code § 52.002, no claims were ever brought against the Estate of Elmer H. Brunsting [Ex 1-6]</w:t>
      </w:r>
    </w:p>
    <w:p w:rsidR="00F9482F" w:rsidRPr="00DC04BA" w:rsidRDefault="005F6CEF" w:rsidP="005B13A2">
      <w:pPr>
        <w:pStyle w:val="Heading2"/>
      </w:pPr>
      <w:r w:rsidRPr="00DC04BA">
        <w:t>Independent Administration</w:t>
      </w:r>
    </w:p>
    <w:p w:rsidR="005F6CEF" w:rsidRPr="00DC04BA" w:rsidRDefault="00671DB5" w:rsidP="00556B0A">
      <w:pPr>
        <w:pStyle w:val="NormalIndent"/>
        <w:ind w:firstLine="0"/>
      </w:pPr>
      <w:r w:rsidRPr="00DC04BA">
        <w:rPr>
          <w:b/>
          <w:bCs/>
        </w:rPr>
        <w:t>Texas Estates Code § 32.005</w:t>
      </w:r>
      <w:r w:rsidRPr="00DC04BA">
        <w:t xml:space="preserve"> addresses the exclusive jurisdiction of statutory probate courts in counties where they exist. </w:t>
      </w:r>
    </w:p>
    <w:p w:rsidR="00671DB5" w:rsidRPr="00DC04BA" w:rsidRDefault="00671DB5" w:rsidP="00B707C4">
      <w:pPr>
        <w:pStyle w:val="Quote"/>
        <w:rPr>
          <w:rFonts w:ascii="Times New Roman" w:hAnsi="Times New Roman"/>
          <w:color w:val="auto"/>
        </w:rPr>
      </w:pPr>
      <w:r w:rsidRPr="00DC04BA">
        <w:rPr>
          <w:rFonts w:ascii="Times New Roman" w:hAnsi="Times New Roman"/>
          <w:color w:val="auto"/>
        </w:rPr>
        <w:t xml:space="preserve">“(a) In a county in which there is a statutory probate court, the statutory probate court has exclusive jurisdiction of all probate proceedings, regardless of whether contested or uncontested. A cause of action related to the probate proceeding must be brought in a statutory probate court unless the jurisdiction of the statutory probate court is concurrent with the jurisdiction of a district court as provided by </w:t>
      </w:r>
      <w:r w:rsidRPr="00DC04BA">
        <w:rPr>
          <w:rFonts w:ascii="Times New Roman" w:hAnsi="Times New Roman"/>
          <w:color w:val="auto"/>
          <w:u w:val="single"/>
        </w:rPr>
        <w:t>Section 32.007</w:t>
      </w:r>
      <w:r w:rsidRPr="00DC04BA">
        <w:rPr>
          <w:rFonts w:ascii="Times New Roman" w:hAnsi="Times New Roman"/>
          <w:color w:val="auto"/>
        </w:rPr>
        <w:t xml:space="preserve"> or with the jurisdiction of any other court.</w:t>
      </w:r>
    </w:p>
    <w:p w:rsidR="00671DB5" w:rsidRPr="00DC04BA" w:rsidRDefault="00671DB5" w:rsidP="00B707C4">
      <w:pPr>
        <w:pStyle w:val="Quote"/>
        <w:rPr>
          <w:rFonts w:ascii="Times New Roman" w:hAnsi="Times New Roman"/>
          <w:color w:val="auto"/>
        </w:rPr>
      </w:pPr>
      <w:r w:rsidRPr="00DC04BA">
        <w:rPr>
          <w:rFonts w:ascii="Times New Roman" w:hAnsi="Times New Roman"/>
          <w:color w:val="auto"/>
        </w:rPr>
        <w:t xml:space="preserve">(b) This section shall be construed in conjunction and in harmony with Chapter 401 and </w:t>
      </w:r>
      <w:r w:rsidRPr="00DC04BA">
        <w:rPr>
          <w:rFonts w:ascii="Times New Roman" w:hAnsi="Times New Roman"/>
          <w:color w:val="auto"/>
          <w:u w:val="single"/>
        </w:rPr>
        <w:t>Section 402.001</w:t>
      </w:r>
      <w:r w:rsidRPr="00DC04BA">
        <w:rPr>
          <w:rFonts w:ascii="Times New Roman" w:hAnsi="Times New Roman"/>
          <w:color w:val="auto"/>
        </w:rPr>
        <w:t xml:space="preserve"> and all other sections of this title relating to independent executors, but may not be construed to expand the court's control over an independent executor.”</w:t>
      </w:r>
    </w:p>
    <w:p w:rsidR="00671DB5" w:rsidRPr="00DC04BA" w:rsidRDefault="00671DB5" w:rsidP="00F732C2">
      <w:pPr>
        <w:pStyle w:val="NormalIndent"/>
      </w:pPr>
      <w:r w:rsidRPr="00DC04BA">
        <w:t>While §32.005 addresses the exclusive jurisdiction of statutory probate courts in counties where they exist, application to independent administration is nuanced. The independent executor's authority is largely derived from the will and the Estates Code provisions specifically governing independent administrations (Chapters 401-405). Unless a specific provision explicitly requires court action or oversight of an independent administration, the independent executor generally operates independently of the court.</w:t>
      </w:r>
    </w:p>
    <w:p w:rsidR="005B13A2" w:rsidRPr="00DC04BA" w:rsidRDefault="005B13A2" w:rsidP="005B13A2">
      <w:pPr>
        <w:pStyle w:val="Heading2"/>
      </w:pPr>
      <w:r w:rsidRPr="00DC04BA">
        <w:rPr>
          <w:bCs/>
        </w:rPr>
        <w:t xml:space="preserve">Texas Estates Code </w:t>
      </w:r>
      <w:r w:rsidRPr="00DC04BA">
        <w:t>Chapter 402. Administration Subchapter A. General Provisions</w:t>
      </w:r>
    </w:p>
    <w:p w:rsidR="00671DB5" w:rsidRPr="00DC04BA" w:rsidRDefault="005B13A2" w:rsidP="00B707C4">
      <w:pPr>
        <w:pStyle w:val="Quote"/>
        <w:rPr>
          <w:rFonts w:ascii="Times New Roman" w:hAnsi="Times New Roman"/>
        </w:rPr>
      </w:pPr>
      <w:r w:rsidRPr="00DC04BA">
        <w:rPr>
          <w:rFonts w:ascii="Times New Roman" w:hAnsi="Times New Roman"/>
        </w:rPr>
        <w:t xml:space="preserve">“Texas Estates Code § </w:t>
      </w:r>
      <w:r w:rsidR="00671DB5" w:rsidRPr="00DC04BA">
        <w:rPr>
          <w:rFonts w:ascii="Times New Roman" w:hAnsi="Times New Roman"/>
        </w:rPr>
        <w:t>402.001. GENERAL SCOPE AND EXERCISE OF POWERS. When an independent administration has been created, and the order appointing an independent executor has been entered by the probate court, and the inventory, appraisement, and list of claims has been filed by the independent executor and approved by the court or an affidavit in lieu of the inventory, appraisement, and list of claims has been filed by the independent executor, as long as the estate is represented by an independent executor, further action of any nature may not be had in the probate court except where this title specifically and explicitly provides for some action in the court.</w:t>
      </w:r>
      <w:r w:rsidRPr="00DC04BA">
        <w:rPr>
          <w:rFonts w:ascii="Times New Roman" w:hAnsi="Times New Roman"/>
        </w:rPr>
        <w:t>”</w:t>
      </w:r>
    </w:p>
    <w:p w:rsidR="0051508C" w:rsidRPr="00DC04BA" w:rsidRDefault="005B13A2" w:rsidP="00F732C2">
      <w:pPr>
        <w:pStyle w:val="NormalIndent"/>
      </w:pPr>
      <w:r w:rsidRPr="00DC04BA">
        <w:t xml:space="preserve">Independent Executor Carl Henry Brunsting’s April 9, 2013 Petition for Declaratory Judgment, for an Accounting, for Damages, for Imposition of a Constructive Trust, and for Injunctive Relief, Together With Request for Disclosures is exclusively related to administration of the sole devisee, living trust. Independent Executor Carl Henry Brunsting’s April 9, 2013 Petition </w:t>
      </w:r>
      <w:r w:rsidR="00D54B77" w:rsidRPr="00DC04BA">
        <w:t>was filed after the inventory,</w:t>
      </w:r>
      <w:r w:rsidRPr="00DC04BA">
        <w:t xml:space="preserve"> </w:t>
      </w:r>
      <w:r w:rsidR="00D54B77" w:rsidRPr="00DC04BA">
        <w:t>a</w:t>
      </w:r>
      <w:r w:rsidRPr="00DC04BA">
        <w:t xml:space="preserve">ppraisement and list of claims were approved by the </w:t>
      </w:r>
      <w:r w:rsidRPr="00DC04BA">
        <w:lastRenderedPageBreak/>
        <w:t>probate court</w:t>
      </w:r>
      <w:r w:rsidR="001932D8" w:rsidRPr="00DC04BA">
        <w:t>.</w:t>
      </w:r>
      <w:r w:rsidRPr="00DC04BA">
        <w:t xml:space="preserve"> [Ex 1-4] &amp; [Ex 2-5]</w:t>
      </w:r>
      <w:r w:rsidR="008820FF" w:rsidRPr="00DC04BA">
        <w:t xml:space="preserve"> </w:t>
      </w:r>
      <w:r w:rsidR="001932D8" w:rsidRPr="00DC04BA">
        <w:t xml:space="preserve">Independent Executor Carl Henry Brunsting’s April 9, 2013 Petition </w:t>
      </w:r>
      <w:r w:rsidR="00464183" w:rsidRPr="00DC04BA">
        <w:t>never even mention</w:t>
      </w:r>
      <w:r w:rsidRPr="00DC04BA">
        <w:t>s</w:t>
      </w:r>
      <w:r w:rsidR="00464183" w:rsidRPr="00DC04BA">
        <w:t xml:space="preserve"> the Texas Estates Code</w:t>
      </w:r>
      <w:r w:rsidRPr="00DC04BA">
        <w:t xml:space="preserve"> and clearly fails to invoke the jurisdiction of </w:t>
      </w:r>
      <w:r w:rsidR="008B31E6" w:rsidRPr="00DC04BA">
        <w:t>the</w:t>
      </w:r>
      <w:r w:rsidRPr="00DC04BA">
        <w:t xml:space="preserve"> statutory probate court</w:t>
      </w:r>
      <w:r w:rsidR="00D54B77" w:rsidRPr="00DC04BA">
        <w:t xml:space="preserve"> </w:t>
      </w:r>
      <w:r w:rsidR="001932D8" w:rsidRPr="00DC04BA">
        <w:t xml:space="preserve">in an independent administration </w:t>
      </w:r>
      <w:r w:rsidR="00D54B77" w:rsidRPr="00DC04BA">
        <w:t>after the inventory, appraisement and list of claims had been approved</w:t>
      </w:r>
      <w:r w:rsidR="00464183" w:rsidRPr="00DC04BA">
        <w:t>.</w:t>
      </w:r>
    </w:p>
    <w:p w:rsidR="001B0433" w:rsidRPr="00DC04BA" w:rsidRDefault="00172BF5" w:rsidP="00F732C2">
      <w:pPr>
        <w:pStyle w:val="NormalIndent"/>
      </w:pPr>
      <w:r w:rsidRPr="00DC04BA">
        <w:t xml:space="preserve">Texas Estates Code § 22.029 identifies the terms "probate matter," "probate proceedings," "proceeding in probate," and "proceedings for probate" as synonymous and </w:t>
      </w:r>
      <w:r w:rsidR="000E2C23" w:rsidRPr="00DC04BA">
        <w:t xml:space="preserve">only </w:t>
      </w:r>
      <w:r w:rsidRPr="00DC04BA">
        <w:t>include a matter or proceeding relating to a decedent's estate</w:t>
      </w:r>
      <w:r w:rsidR="001B0433" w:rsidRPr="00DC04BA">
        <w:t xml:space="preserve">. </w:t>
      </w:r>
      <w:r w:rsidRPr="00DC04BA">
        <w:t xml:space="preserve">Texas Estates Code § 32.001 (d) identifies probate proceedings </w:t>
      </w:r>
      <w:r w:rsidR="000E2C23" w:rsidRPr="00DC04BA">
        <w:t xml:space="preserve">as an action in rem. </w:t>
      </w:r>
    </w:p>
    <w:p w:rsidR="001932D8" w:rsidRPr="00DC04BA" w:rsidRDefault="000E2C23" w:rsidP="00F732C2">
      <w:pPr>
        <w:pStyle w:val="NormalIndent"/>
      </w:pPr>
      <w:r w:rsidRPr="00DC04BA">
        <w:t xml:space="preserve">It should be noted that no “claims”, as that term is defined by Texas Estates Code § 22.005, were ever brought against the Estate of Nelva E. Brunsting. [Ex 2-7] </w:t>
      </w:r>
      <w:r w:rsidR="001B0433" w:rsidRPr="00DC04BA">
        <w:t>T</w:t>
      </w:r>
      <w:r w:rsidRPr="00DC04BA">
        <w:t xml:space="preserve">hat would make sense as the only property identified by the inventory </w:t>
      </w:r>
      <w:r w:rsidR="00B36567" w:rsidRPr="00DC04BA">
        <w:t xml:space="preserve">Ex 1-4, 2-4] </w:t>
      </w:r>
      <w:r w:rsidRPr="00DC04BA">
        <w:t>that would be subject to in rem claims, was a junk car that nobody wanted. In fact, t</w:t>
      </w:r>
      <w:r w:rsidR="00F91AB6" w:rsidRPr="00DC04BA">
        <w:t>he junk car</w:t>
      </w:r>
      <w:r w:rsidRPr="00DC04BA">
        <w:t xml:space="preserve"> was of such little value that the Independent Executor did</w:t>
      </w:r>
      <w:r w:rsidR="001932D8" w:rsidRPr="00DC04BA">
        <w:t xml:space="preserve"> </w:t>
      </w:r>
      <w:r w:rsidRPr="00DC04BA">
        <w:t>n</w:t>
      </w:r>
      <w:r w:rsidR="001932D8" w:rsidRPr="00DC04BA">
        <w:t>o</w:t>
      </w:r>
      <w:r w:rsidRPr="00DC04BA">
        <w:t>t even bother to take possession</w:t>
      </w:r>
      <w:r w:rsidR="001B0433" w:rsidRPr="00DC04BA">
        <w:t xml:space="preserve"> as required by Texas Estates Code § 101.003</w:t>
      </w:r>
      <w:r w:rsidRPr="00DC04BA">
        <w:t>.</w:t>
      </w:r>
    </w:p>
    <w:p w:rsidR="001B0433" w:rsidRPr="00DC04BA" w:rsidRDefault="001B0433" w:rsidP="00570C3C">
      <w:pPr>
        <w:pStyle w:val="NormalWeb"/>
      </w:pPr>
      <w:r w:rsidRPr="00DC04BA">
        <w:t xml:space="preserve">Texas Estates Code §101.001(1) “all of the person's estate that is devised by the will vests immediately in the devisees”. </w:t>
      </w:r>
    </w:p>
    <w:p w:rsidR="001932D8" w:rsidRPr="00DC04BA" w:rsidRDefault="001B0433" w:rsidP="001932D8">
      <w:pPr>
        <w:pStyle w:val="NormalWeb"/>
      </w:pPr>
      <w:r w:rsidRPr="00DC04BA">
        <w:t>There is no shorter period of time than immediate. In an independent administration of a pour-over estate the filing of an Inventory Appraisement and List of Claims is a mere formality where no claims are pending against the estate</w:t>
      </w:r>
      <w:r w:rsidR="00D128F6" w:rsidRPr="00DC04BA">
        <w:t>,</w:t>
      </w:r>
      <w:r w:rsidRPr="00DC04BA">
        <w:t xml:space="preserve"> as all right title and interest in estate property vest </w:t>
      </w:r>
      <w:r w:rsidR="00D128F6" w:rsidRPr="00DC04BA">
        <w:t xml:space="preserve">instantly </w:t>
      </w:r>
      <w:r w:rsidRPr="00DC04BA">
        <w:t>in the trust and become part of the corpus of the trust.</w:t>
      </w:r>
      <w:r w:rsidR="00D54B77" w:rsidRPr="00DC04BA">
        <w:t xml:space="preserve"> </w:t>
      </w:r>
    </w:p>
    <w:p w:rsidR="00B36567" w:rsidRPr="00DC04BA" w:rsidRDefault="00B36567" w:rsidP="00B36567">
      <w:pPr>
        <w:pStyle w:val="Quote"/>
        <w:rPr>
          <w:rFonts w:ascii="Times New Roman" w:hAnsi="Times New Roman"/>
        </w:rPr>
      </w:pPr>
      <w:r w:rsidRPr="00DC04BA">
        <w:rPr>
          <w:rFonts w:ascii="Times New Roman" w:hAnsi="Times New Roman"/>
        </w:rPr>
        <w:t xml:space="preserve">A probate court has jurisdiction "to resolve ancillary claims against third parties only to the extent that such claims were necessary to resolve claims within its original jurisdiction." Goodman v. Summit at W. Rim, Ltd., </w:t>
      </w:r>
      <w:hyperlink r:id="rId8" w:anchor="p934" w:history="1">
        <w:r w:rsidRPr="00DC04BA">
          <w:rPr>
            <w:rFonts w:ascii="Times New Roman" w:hAnsi="Times New Roman"/>
            <w:color w:val="0000FF"/>
            <w:u w:val="single"/>
          </w:rPr>
          <w:t>952 S.W.2d 930, 934</w:t>
        </w:r>
      </w:hyperlink>
      <w:r w:rsidRPr="00DC04BA">
        <w:rPr>
          <w:rFonts w:ascii="Times New Roman" w:hAnsi="Times New Roman"/>
        </w:rPr>
        <w:t xml:space="preserve"> (Tex. App.—Austin 1997, no pet.) (applying the predecessor to </w:t>
      </w:r>
      <w:hyperlink r:id="rId9" w:history="1">
        <w:r w:rsidRPr="00DC04BA">
          <w:rPr>
            <w:rFonts w:ascii="Times New Roman" w:hAnsi="Times New Roman"/>
            <w:color w:val="0000FF"/>
            <w:u w:val="single"/>
          </w:rPr>
          <w:t>Texas Estates Code section 32.001(b)</w:t>
        </w:r>
      </w:hyperlink>
      <w:r w:rsidRPr="00DC04BA">
        <w:rPr>
          <w:rFonts w:ascii="Times New Roman" w:hAnsi="Times New Roman"/>
        </w:rPr>
        <w:t>).</w:t>
      </w:r>
    </w:p>
    <w:p w:rsidR="001932D8" w:rsidRPr="00DC04BA" w:rsidRDefault="001932D8" w:rsidP="006F0DF8">
      <w:pPr>
        <w:pStyle w:val="NormalIndent"/>
      </w:pPr>
      <w:r w:rsidRPr="00DC04BA">
        <w:t>Nothing in Independent Executor Carl Henry Brunsting’s April 9, 2013 Petition for Declaratory Judgment has to do with the estate</w:t>
      </w:r>
      <w:r w:rsidR="00056A02" w:rsidRPr="00DC04BA">
        <w:t xml:space="preserve">. </w:t>
      </w:r>
      <w:r w:rsidR="00B36567" w:rsidRPr="00DC04BA">
        <w:t xml:space="preserve">Everything in Independent Executor Carl Henry Brunsting’s April 9, 2013 Petition for Declaratory Judgment relates to the trust. </w:t>
      </w:r>
      <w:r w:rsidR="00056A02" w:rsidRPr="00DC04BA">
        <w:t>A</w:t>
      </w:r>
      <w:r w:rsidR="00514343" w:rsidRPr="00DC04BA">
        <w:t>fter the pour-over was complete a</w:t>
      </w:r>
      <w:r w:rsidRPr="00DC04BA">
        <w:t xml:space="preserve">ny </w:t>
      </w:r>
      <w:r w:rsidR="00056A02" w:rsidRPr="00DC04BA">
        <w:t xml:space="preserve">potential </w:t>
      </w:r>
      <w:r w:rsidRPr="00DC04BA">
        <w:t xml:space="preserve">benefit from non-probate claims </w:t>
      </w:r>
      <w:r w:rsidR="00B36567" w:rsidRPr="00DC04BA">
        <w:t xml:space="preserve">against third parties </w:t>
      </w:r>
      <w:r w:rsidRPr="00DC04BA">
        <w:t xml:space="preserve">by the </w:t>
      </w:r>
      <w:r w:rsidR="00056A02" w:rsidRPr="00DC04BA">
        <w:t>independent executor</w:t>
      </w:r>
      <w:r w:rsidRPr="00DC04BA">
        <w:t xml:space="preserve"> would vest immediately in the trust.</w:t>
      </w:r>
    </w:p>
    <w:p w:rsidR="005E2409" w:rsidRPr="00DC04BA" w:rsidRDefault="005E2409" w:rsidP="00623A44">
      <w:pPr>
        <w:pStyle w:val="Heading1"/>
        <w:rPr>
          <w:sz w:val="24"/>
          <w:szCs w:val="24"/>
        </w:rPr>
      </w:pPr>
      <w:r w:rsidRPr="00DC04BA">
        <w:rPr>
          <w:sz w:val="24"/>
          <w:szCs w:val="24"/>
        </w:rPr>
        <w:t>No Estate and No Executor</w:t>
      </w:r>
    </w:p>
    <w:p w:rsidR="00623A44" w:rsidRPr="00DC04BA" w:rsidRDefault="00623A44" w:rsidP="00623A44">
      <w:pPr>
        <w:pStyle w:val="Heading2"/>
      </w:pPr>
      <w:r w:rsidRPr="00DC04BA">
        <w:t>Resignation of Independent Executor</w:t>
      </w:r>
    </w:p>
    <w:p w:rsidR="00056A02" w:rsidRPr="00DC04BA" w:rsidRDefault="00056A02" w:rsidP="00056A02">
      <w:pPr>
        <w:pStyle w:val="Quote"/>
        <w:rPr>
          <w:rFonts w:ascii="Times New Roman" w:hAnsi="Times New Roman"/>
        </w:rPr>
      </w:pPr>
      <w:r w:rsidRPr="00DC04BA">
        <w:rPr>
          <w:rFonts w:ascii="Times New Roman" w:hAnsi="Times New Roman"/>
        </w:rPr>
        <w:t xml:space="preserve">“the estate is an "indispensable party" to any proceeding in the probate court. The estate's presence is required for the determination of any proceeding that is ancillary or pendent to an estate.” Goodman v. Summit at West Rim, Ltd., 952 S.W.2d 930, 933 (Tex. App. 1997) </w:t>
      </w:r>
      <w:hyperlink r:id="rId10" w:history="1">
        <w:r w:rsidRPr="00DC04BA">
          <w:rPr>
            <w:rStyle w:val="Hyperlink"/>
            <w:rFonts w:ascii="Times New Roman" w:hAnsi="Times New Roman"/>
          </w:rPr>
          <w:t>Smith's Inc. v. Sheffield</w:t>
        </w:r>
      </w:hyperlink>
      <w:r w:rsidRPr="00DC04BA">
        <w:rPr>
          <w:rFonts w:ascii="Times New Roman" w:hAnsi="Times New Roman"/>
        </w:rPr>
        <w:t xml:space="preserve"> </w:t>
      </w:r>
      <w:r w:rsidRPr="00DC04BA">
        <w:rPr>
          <w:rStyle w:val="doc-citation-string"/>
          <w:rFonts w:ascii="Times New Roman" w:hAnsi="Times New Roman"/>
        </w:rPr>
        <w:t xml:space="preserve">No. 03-02-00109-CV (Tex. App. Jan. 30, 2003), </w:t>
      </w:r>
      <w:r w:rsidRPr="00DC04BA">
        <w:rPr>
          <w:rStyle w:val="Emphasis"/>
          <w:rFonts w:ascii="Times New Roman" w:hAnsi="Times New Roman"/>
        </w:rPr>
        <w:t xml:space="preserve">Goodman v. Summit at West Rim, Ltd., </w:t>
      </w:r>
      <w:hyperlink r:id="rId11" w:anchor="p934" w:history="1">
        <w:r w:rsidRPr="00DC04BA">
          <w:rPr>
            <w:rFonts w:ascii="Times New Roman" w:hAnsi="Times New Roman"/>
            <w:color w:val="0000FF"/>
            <w:u w:val="single"/>
          </w:rPr>
          <w:t>952 S.W.2d 930, 934</w:t>
        </w:r>
      </w:hyperlink>
      <w:r w:rsidRPr="00DC04BA">
        <w:rPr>
          <w:rStyle w:val="Emphasis"/>
          <w:rFonts w:ascii="Times New Roman" w:hAnsi="Times New Roman"/>
        </w:rPr>
        <w:t xml:space="preserve"> (Tex.App.-Austin 1997, no pet.)</w:t>
      </w:r>
      <w:r w:rsidRPr="00DC04BA">
        <w:rPr>
          <w:rFonts w:ascii="Times New Roman" w:hAnsi="Times New Roman"/>
        </w:rPr>
        <w:t xml:space="preserve">, </w:t>
      </w:r>
      <w:hyperlink r:id="rId12" w:history="1">
        <w:r w:rsidRPr="00DC04BA">
          <w:rPr>
            <w:rStyle w:val="Hyperlink"/>
            <w:rFonts w:ascii="Times New Roman" w:hAnsi="Times New Roman"/>
          </w:rPr>
          <w:t>Johnson v. Johnson</w:t>
        </w:r>
      </w:hyperlink>
      <w:r w:rsidRPr="00DC04BA">
        <w:rPr>
          <w:rFonts w:ascii="Times New Roman" w:hAnsi="Times New Roman"/>
        </w:rPr>
        <w:t>, No. 04-19-00500-CV (Tex. App. Jan. 15, 2020)</w:t>
      </w:r>
    </w:p>
    <w:p w:rsidR="00056A02" w:rsidRPr="00DC04BA" w:rsidRDefault="00056A02" w:rsidP="00056A02"/>
    <w:p w:rsidR="00056A02" w:rsidRPr="00DC04BA" w:rsidRDefault="00056A02" w:rsidP="00056A02">
      <w:pPr>
        <w:pStyle w:val="NormalIndent"/>
      </w:pPr>
      <w:r w:rsidRPr="00DC04BA">
        <w:lastRenderedPageBreak/>
        <w:t xml:space="preserve">“It is settled in Texas that the personal representative of the estate of a decedent is ordinarily the only person entitled to sue for the recovery of property belonging to the estate."); </w:t>
      </w:r>
      <w:r w:rsidRPr="00DC04BA">
        <w:rPr>
          <w:i/>
          <w:iCs/>
        </w:rPr>
        <w:t>In re Estate of York</w:t>
      </w:r>
      <w:r w:rsidRPr="00DC04BA">
        <w:t xml:space="preserve">, </w:t>
      </w:r>
      <w:hyperlink r:id="rId13" w:anchor="p127" w:history="1">
        <w:r w:rsidRPr="00DC04BA">
          <w:rPr>
            <w:color w:val="0000FF"/>
            <w:u w:val="single"/>
          </w:rPr>
          <w:t>951 S.W.2d 122, 127</w:t>
        </w:r>
      </w:hyperlink>
      <w:r w:rsidRPr="00DC04BA">
        <w:t xml:space="preserve"> (Tex. App.—Corpus Christi 1997, no writ)” </w:t>
      </w:r>
      <w:r w:rsidRPr="00DC04BA">
        <w:rPr>
          <w:i/>
          <w:iCs/>
        </w:rPr>
        <w:t>Cantu v. Medina</w:t>
      </w:r>
      <w:r w:rsidRPr="00DC04BA">
        <w:t>, No. 13-16-00566-CV, at *5 (Tex. App. Sep. 28, 2017)</w:t>
      </w:r>
    </w:p>
    <w:p w:rsidR="00A075AD" w:rsidRPr="00DC04BA" w:rsidRDefault="0015663D" w:rsidP="00B707C4">
      <w:pPr>
        <w:pStyle w:val="NormalIndent"/>
      </w:pPr>
      <w:r w:rsidRPr="00DC04BA">
        <w:t xml:space="preserve">Independent Executor Carl Henry Brunsting resigned due to diminished capacity </w:t>
      </w:r>
      <w:r w:rsidR="00D54B77" w:rsidRPr="00DC04BA">
        <w:t xml:space="preserve">on or about February 19, 2015. </w:t>
      </w:r>
      <w:r w:rsidR="00A075AD" w:rsidRPr="00DC04BA">
        <w:t xml:space="preserve">In Texas, the probate court's authority to appoint a successor independent executor after the inventory, appraisement, and list of claims have been approved—and when there is nothing left to be performed under the will and the estate has been distributed—is significantly limited. The key issue is whether there remains any ongoing need for administration of the estate. </w:t>
      </w:r>
    </w:p>
    <w:p w:rsidR="00A075AD" w:rsidRPr="00DC04BA" w:rsidRDefault="00A075AD" w:rsidP="00A075AD">
      <w:pPr>
        <w:numPr>
          <w:ilvl w:val="0"/>
          <w:numId w:val="45"/>
        </w:numPr>
        <w:spacing w:before="100" w:beforeAutospacing="1" w:after="100" w:afterAutospacing="1"/>
      </w:pPr>
      <w:r w:rsidRPr="00DC04BA">
        <w:rPr>
          <w:b/>
          <w:bCs/>
        </w:rPr>
        <w:t>Texas Estates Code Section 404.005</w:t>
      </w:r>
      <w:r w:rsidRPr="00DC04BA">
        <w:t>:</w:t>
      </w:r>
    </w:p>
    <w:p w:rsidR="00A075AD" w:rsidRPr="00DC04BA" w:rsidRDefault="00A075AD" w:rsidP="00A075AD">
      <w:pPr>
        <w:numPr>
          <w:ilvl w:val="1"/>
          <w:numId w:val="45"/>
        </w:numPr>
        <w:spacing w:before="100" w:beforeAutospacing="1" w:after="100" w:afterAutospacing="1"/>
      </w:pPr>
      <w:r w:rsidRPr="00DC04BA">
        <w:t>This section allows for the appointment of a successor independent executor if the original executor is unable to serve due to incapacity, resignation, or death. However, the appointment is contingent on the need for continued administration of the estate.</w:t>
      </w:r>
    </w:p>
    <w:p w:rsidR="00A075AD" w:rsidRPr="00DC04BA" w:rsidRDefault="00A075AD" w:rsidP="00570C3C">
      <w:pPr>
        <w:pStyle w:val="NormalWeb"/>
        <w:numPr>
          <w:ilvl w:val="0"/>
          <w:numId w:val="45"/>
        </w:numPr>
      </w:pPr>
      <w:r w:rsidRPr="00DC04BA">
        <w:rPr>
          <w:rStyle w:val="Strong"/>
        </w:rPr>
        <w:t>Texas Estates Code Section 404.0035</w:t>
      </w:r>
      <w:r w:rsidRPr="00DC04BA">
        <w:t>:</w:t>
      </w:r>
    </w:p>
    <w:p w:rsidR="00A075AD" w:rsidRPr="00DC04BA" w:rsidRDefault="00A075AD" w:rsidP="00A075AD">
      <w:pPr>
        <w:numPr>
          <w:ilvl w:val="1"/>
          <w:numId w:val="45"/>
        </w:numPr>
        <w:spacing w:before="100" w:beforeAutospacing="1" w:after="100" w:afterAutospacing="1"/>
      </w:pPr>
      <w:r w:rsidRPr="00DC04BA">
        <w:t>If the will does not name a successor independent executor, the court may appoint one upon application by an interested party, provided it is consistent with the terms of the will and the decedent's intent.</w:t>
      </w:r>
    </w:p>
    <w:p w:rsidR="00A075AD" w:rsidRPr="00DC04BA" w:rsidRDefault="00A075AD" w:rsidP="00A075AD">
      <w:pPr>
        <w:numPr>
          <w:ilvl w:val="0"/>
          <w:numId w:val="45"/>
        </w:numPr>
        <w:spacing w:before="100" w:beforeAutospacing="1" w:after="100" w:afterAutospacing="1"/>
      </w:pPr>
      <w:r w:rsidRPr="00DC04BA">
        <w:rPr>
          <w:b/>
          <w:bCs/>
        </w:rPr>
        <w:t>Independent Administration Principles</w:t>
      </w:r>
      <w:r w:rsidRPr="00DC04BA">
        <w:t>:</w:t>
      </w:r>
    </w:p>
    <w:p w:rsidR="00A075AD" w:rsidRPr="00DC04BA" w:rsidRDefault="00A075AD" w:rsidP="00A075AD">
      <w:pPr>
        <w:numPr>
          <w:ilvl w:val="1"/>
          <w:numId w:val="45"/>
        </w:numPr>
        <w:spacing w:before="100" w:beforeAutospacing="1" w:after="100" w:afterAutospacing="1"/>
      </w:pPr>
      <w:r w:rsidRPr="00DC04BA">
        <w:t>Independent administration is designed to minimize court involvement. Once the estate has been fully administered (i.e., all property distributed and no further actions required), the role of the independent executor effectively ends, and there is no ongoing need for a successor.</w:t>
      </w:r>
    </w:p>
    <w:p w:rsidR="00A075AD" w:rsidRPr="00DC04BA" w:rsidRDefault="00A075AD" w:rsidP="00570C3C">
      <w:pPr>
        <w:numPr>
          <w:ilvl w:val="0"/>
          <w:numId w:val="45"/>
        </w:numPr>
        <w:spacing w:before="100" w:beforeAutospacing="1" w:after="100" w:afterAutospacing="1"/>
      </w:pPr>
      <w:r w:rsidRPr="00DC04BA">
        <w:rPr>
          <w:b/>
          <w:bCs/>
        </w:rPr>
        <w:t>Case Law Guidance</w:t>
      </w:r>
      <w:r w:rsidRPr="00DC04BA">
        <w:t>:</w:t>
      </w:r>
    </w:p>
    <w:p w:rsidR="009802F3" w:rsidRPr="00DC04BA" w:rsidRDefault="00A075AD" w:rsidP="00B707C4">
      <w:pPr>
        <w:pStyle w:val="NormalIndent"/>
      </w:pPr>
      <w:r w:rsidRPr="00DC04BA">
        <w:t>Texas courts have generally held that the probate court's jurisdiction over an independent administration is limited to matters explicitly authorized by the Estates Code. If the estate has been fully distributed and there are no remaining tasks to perform under the will, the court lack</w:t>
      </w:r>
      <w:r w:rsidR="00570C3C" w:rsidRPr="00DC04BA">
        <w:t>s the</w:t>
      </w:r>
      <w:r w:rsidRPr="00DC04BA">
        <w:t xml:space="preserve"> jurisdiction to appoint a successor independent executor because there is no longer an estate to administer. </w:t>
      </w:r>
    </w:p>
    <w:p w:rsidR="00570C3C" w:rsidRPr="00DC04BA" w:rsidRDefault="00570C3C" w:rsidP="00570C3C">
      <w:pPr>
        <w:pStyle w:val="NormalWeb"/>
        <w:numPr>
          <w:ilvl w:val="0"/>
          <w:numId w:val="45"/>
        </w:numPr>
      </w:pPr>
      <w:r w:rsidRPr="00DC04BA">
        <w:rPr>
          <w:rStyle w:val="Strong"/>
        </w:rPr>
        <w:t>Texas Estates Code Section 404.005</w:t>
      </w:r>
      <w:r w:rsidRPr="00DC04BA">
        <w:t>:</w:t>
      </w:r>
    </w:p>
    <w:p w:rsidR="00570C3C" w:rsidRPr="00DC04BA" w:rsidRDefault="00570C3C" w:rsidP="00570C3C">
      <w:pPr>
        <w:numPr>
          <w:ilvl w:val="1"/>
          <w:numId w:val="45"/>
        </w:numPr>
        <w:spacing w:before="100" w:beforeAutospacing="1" w:after="100" w:afterAutospacing="1"/>
      </w:pPr>
      <w:r w:rsidRPr="00DC04BA">
        <w:t>This section allows for the appointment of a successor independent executor if the original executor is unable to serve due to death, resignation, or incapacity, provided the will names a successor or grants the court authority to appoint one.</w:t>
      </w:r>
    </w:p>
    <w:p w:rsidR="00570C3C" w:rsidRPr="00DC04BA" w:rsidRDefault="00570C3C" w:rsidP="00570C3C">
      <w:pPr>
        <w:pStyle w:val="NormalWeb"/>
        <w:numPr>
          <w:ilvl w:val="0"/>
          <w:numId w:val="45"/>
        </w:numPr>
      </w:pPr>
      <w:r w:rsidRPr="00DC04BA">
        <w:rPr>
          <w:rStyle w:val="Strong"/>
        </w:rPr>
        <w:t>Texas Estates Code Section 404.0035</w:t>
      </w:r>
      <w:r w:rsidRPr="00DC04BA">
        <w:t>:</w:t>
      </w:r>
    </w:p>
    <w:p w:rsidR="00570C3C" w:rsidRPr="00DC04BA" w:rsidRDefault="00570C3C" w:rsidP="00570C3C">
      <w:pPr>
        <w:numPr>
          <w:ilvl w:val="1"/>
          <w:numId w:val="45"/>
        </w:numPr>
        <w:spacing w:before="100" w:beforeAutospacing="1" w:after="100" w:afterAutospacing="1"/>
      </w:pPr>
      <w:r w:rsidRPr="00DC04BA">
        <w:t>If the will does not name a successor independent executor, the court may appoint one upon application by an interested party, provided it is consistent with the terms of the will and the decedent's intent.</w:t>
      </w:r>
    </w:p>
    <w:p w:rsidR="00570C3C" w:rsidRPr="00DC04BA" w:rsidRDefault="00570C3C" w:rsidP="00570C3C">
      <w:pPr>
        <w:pStyle w:val="NormalWeb"/>
        <w:numPr>
          <w:ilvl w:val="0"/>
          <w:numId w:val="45"/>
        </w:numPr>
      </w:pPr>
      <w:r w:rsidRPr="00DC04BA">
        <w:rPr>
          <w:rStyle w:val="Strong"/>
        </w:rPr>
        <w:t>Independent Administration Framework</w:t>
      </w:r>
      <w:r w:rsidRPr="00DC04BA">
        <w:t>:</w:t>
      </w:r>
    </w:p>
    <w:p w:rsidR="00570C3C" w:rsidRPr="00DC04BA" w:rsidRDefault="00570C3C" w:rsidP="00570C3C">
      <w:pPr>
        <w:numPr>
          <w:ilvl w:val="1"/>
          <w:numId w:val="45"/>
        </w:numPr>
        <w:spacing w:before="100" w:beforeAutospacing="1" w:after="100" w:afterAutospacing="1"/>
      </w:pPr>
      <w:r w:rsidRPr="00DC04BA">
        <w:t>Under independent administration, the court's involvement is generally limited. However, the appointment of a successor independent executor is one of the actions explicitly allowed by the Estates Code.</w:t>
      </w:r>
    </w:p>
    <w:p w:rsidR="00570C3C" w:rsidRPr="00DC04BA" w:rsidRDefault="00570C3C" w:rsidP="00613582">
      <w:pPr>
        <w:pStyle w:val="NormalIndent"/>
      </w:pPr>
      <w:r w:rsidRPr="00DC04BA">
        <w:lastRenderedPageBreak/>
        <w:t>What could possibly remain to be performed under a pour-over will after the inventory has been approved and all right, title and interest in the estate has officially become part of the corpus of the trust? There is no estate to administer; no successor to the independent executor has ever been appointed</w:t>
      </w:r>
      <w:r w:rsidR="00613582" w:rsidRPr="00DC04BA">
        <w:t xml:space="preserve">; </w:t>
      </w:r>
      <w:r w:rsidRPr="00DC04BA">
        <w:t>the office has remained empty since February 2015</w:t>
      </w:r>
      <w:r w:rsidR="00B30A45" w:rsidRPr="00DC04BA">
        <w:t xml:space="preserve"> and </w:t>
      </w:r>
      <w:r w:rsidRPr="00DC04BA">
        <w:t xml:space="preserve">the probate court has refused to dismiss for want of jurisdiction. </w:t>
      </w:r>
    </w:p>
    <w:p w:rsidR="00623A44" w:rsidRPr="00DC04BA" w:rsidRDefault="00623A44" w:rsidP="0098504F">
      <w:pPr>
        <w:pStyle w:val="Heading1"/>
        <w:rPr>
          <w:sz w:val="24"/>
          <w:szCs w:val="24"/>
        </w:rPr>
      </w:pPr>
      <w:r w:rsidRPr="00DC04BA">
        <w:rPr>
          <w:sz w:val="24"/>
          <w:szCs w:val="24"/>
        </w:rPr>
        <w:t>Dominant Jurisdiction</w:t>
      </w:r>
    </w:p>
    <w:p w:rsidR="00623A44" w:rsidRPr="00DC04BA" w:rsidRDefault="00623A44" w:rsidP="00623A44">
      <w:pPr>
        <w:pStyle w:val="NormalIndent"/>
      </w:pPr>
      <w:r w:rsidRPr="00DC04BA">
        <w:t>It should also be noted that on January 29, 2013 Carl Henry Brunsting, as independent executor of the estates of Elmer H. Brunsting and Nelva E. Brunsting, filed an action i</w:t>
      </w:r>
      <w:r w:rsidR="0098504F" w:rsidRPr="00DC04BA">
        <w:t>n</w:t>
      </w:r>
      <w:r w:rsidRPr="00DC04BA">
        <w:t xml:space="preserve"> Harris County’s 164</w:t>
      </w:r>
      <w:r w:rsidRPr="00DC04BA">
        <w:rPr>
          <w:vertAlign w:val="superscript"/>
        </w:rPr>
        <w:t>th</w:t>
      </w:r>
      <w:r w:rsidRPr="00DC04BA">
        <w:t xml:space="preserve"> Judicial District Court [</w:t>
      </w:r>
      <w:r w:rsidR="0098504F" w:rsidRPr="00DC04BA">
        <w:t>Ex 4-1] against Elmer and Nelva Brunsting’</w:t>
      </w:r>
      <w:r w:rsidRPr="00DC04BA">
        <w:t xml:space="preserve">s estate planning attorneys alleging: </w:t>
      </w:r>
    </w:p>
    <w:p w:rsidR="00623A44" w:rsidRPr="00DC04BA" w:rsidRDefault="00623A44" w:rsidP="0098504F">
      <w:pPr>
        <w:pStyle w:val="Quote"/>
        <w:rPr>
          <w:rFonts w:ascii="Times New Roman" w:hAnsi="Times New Roman"/>
        </w:rPr>
      </w:pPr>
      <w:r w:rsidRPr="00DC04BA">
        <w:rPr>
          <w:rFonts w:ascii="Times New Roman" w:hAnsi="Times New Roman"/>
        </w:rPr>
        <w:t xml:space="preserve"> “negligence, breach of fiduciary duty and other acts or omissions in their representation of Elmer and Nelva, both individually and in their capacities as trustees of the Family Trust. Defendants' actions constitute negligent misrepresentation, negligence per se, deceptive trade practices, conversion, fraud, commercial bribery, breaches of their fiduciary duties, as well as aiding and abetting, assisting and encouraging repeated breaches of fiduciary duty. Alternatively, a conspiracy existed between Defendants and the Current Trustees for that unlawful purpose.”</w:t>
      </w:r>
    </w:p>
    <w:p w:rsidR="00623A44" w:rsidRPr="00DC04BA" w:rsidRDefault="00623A44" w:rsidP="008D1085">
      <w:pPr>
        <w:pStyle w:val="Heading1"/>
        <w:rPr>
          <w:sz w:val="24"/>
          <w:szCs w:val="24"/>
        </w:rPr>
      </w:pPr>
      <w:r w:rsidRPr="00DC04BA">
        <w:rPr>
          <w:sz w:val="24"/>
          <w:szCs w:val="24"/>
        </w:rPr>
        <w:t>Single Nucleus of Operative Facts</w:t>
      </w:r>
    </w:p>
    <w:p w:rsidR="00623A44" w:rsidRPr="00DC04BA" w:rsidRDefault="00623A44" w:rsidP="00623A44">
      <w:pPr>
        <w:pStyle w:val="NormalIndent"/>
      </w:pPr>
      <w:r w:rsidRPr="00DC04BA">
        <w:t>The District Court matter [Ex 4-1], filed in January 2013, and the declaratory judgment action filed in the probate court by the independent executor in on April 9, 2013, [Ex 3-1] share a single nucleus of operative facts.</w:t>
      </w:r>
    </w:p>
    <w:tbl>
      <w:tblPr>
        <w:tblStyle w:val="TableGrid"/>
        <w:tblW w:w="0" w:type="auto"/>
        <w:tblLook w:val="04A0" w:firstRow="1" w:lastRow="0" w:firstColumn="1" w:lastColumn="0" w:noHBand="0" w:noVBand="1"/>
      </w:tblPr>
      <w:tblGrid>
        <w:gridCol w:w="9576"/>
      </w:tblGrid>
      <w:tr w:rsidR="00623A44" w:rsidRPr="00DC04BA" w:rsidTr="009207C6">
        <w:tc>
          <w:tcPr>
            <w:tcW w:w="9576" w:type="dxa"/>
          </w:tcPr>
          <w:p w:rsidR="00623A44" w:rsidRPr="00DC04BA" w:rsidRDefault="00623A44" w:rsidP="009207C6">
            <w:pPr>
              <w:spacing w:before="100" w:beforeAutospacing="1" w:after="100" w:afterAutospacing="1"/>
            </w:pPr>
            <w:r w:rsidRPr="00DC04BA">
              <w:t>Parties and Roles</w:t>
            </w:r>
            <w:r w:rsidRPr="00DC04BA">
              <w:br/>
              <w:t>– Plaintiff in both cases: Carl Henry Brunsting, individually and as Independent Executor of the estates of Elmer H. Brunsting and Nelva E. Brunsting</w:t>
            </w:r>
            <w:r w:rsidRPr="00DC04BA">
              <w:br/>
              <w:t>– Defendants in Case 1: Anita Kay Brunsting (née Riley), Amy Ruth Brunsting (née Tschirhart), Carole Ann Brunsting, Candace Louise Curtis</w:t>
            </w:r>
            <w:r w:rsidRPr="00DC04BA">
              <w:br/>
              <w:t xml:space="preserve">– Defendants in Case 2: Candace L. Kunz-Freed (attorney), Vacek &amp; Freed, PLLC f/k/a The Vacek Law Firm (law firm successor to Albert E. Vacek, Jr., P.C.) </w:t>
            </w:r>
          </w:p>
          <w:p w:rsidR="00623A44" w:rsidRPr="00DC04BA" w:rsidRDefault="00623A44" w:rsidP="009207C6">
            <w:pPr>
              <w:spacing w:before="100" w:beforeAutospacing="1" w:after="100" w:afterAutospacing="1"/>
            </w:pPr>
            <w:r w:rsidRPr="00DC04BA">
              <w:t>• Trust Instruments at Issue</w:t>
            </w:r>
            <w:r w:rsidRPr="00DC04BA">
              <w:br/>
              <w:t>– The Brunsting Family Living Trust (created 1996, restated 2005) and its successor trusts (Elmer H. Brunsting Decedent’s Trust; Nelva E. Brunsting Survivor’s Trust)</w:t>
            </w:r>
            <w:r w:rsidRPr="00DC04BA">
              <w:br/>
              <w:t>– The August 25, 2010 Qualified Beneficiary Designation and Exercise of Testamentary Powers of Appointment (the “8/25/10 QBD”)</w:t>
            </w:r>
            <w:r w:rsidRPr="00DC04BA">
              <w:br/>
              <w:t xml:space="preserve">– Powers of attorney executed by Nelva (including the 8/25/10 POA) </w:t>
            </w:r>
          </w:p>
          <w:p w:rsidR="00623A44" w:rsidRPr="00DC04BA" w:rsidRDefault="00623A44" w:rsidP="009207C6">
            <w:pPr>
              <w:spacing w:before="100" w:beforeAutospacing="1" w:after="100" w:afterAutospacing="1"/>
            </w:pPr>
            <w:r w:rsidRPr="00DC04BA">
              <w:t>• Allegations of Undue Influence and Lack of Capacity</w:t>
            </w:r>
            <w:r w:rsidRPr="00DC04BA">
              <w:br/>
              <w:t xml:space="preserve">– Nelva lacked capacity and/or was unduly influenced by siblings (Anita and Amy) when executing the 8/25/10 QBD, </w:t>
            </w:r>
            <w:r w:rsidR="008D1085" w:rsidRPr="00DC04BA">
              <w:t xml:space="preserve">12/21/2010 </w:t>
            </w:r>
            <w:r w:rsidRPr="00DC04BA">
              <w:t>resignation as trustee</w:t>
            </w:r>
            <w:r w:rsidR="008D1085" w:rsidRPr="00DC04BA">
              <w:t xml:space="preserve"> </w:t>
            </w:r>
            <w:r w:rsidRPr="00DC04BA">
              <w:t>and POA</w:t>
            </w:r>
            <w:r w:rsidRPr="00DC04BA">
              <w:br/>
              <w:t xml:space="preserve">– Documents prepared and executed without Nelva’s informed consent or comprehension </w:t>
            </w:r>
            <w:r w:rsidR="008D1085" w:rsidRPr="00DC04BA">
              <w:lastRenderedPageBreak/>
              <w:t>amending an irrevocable trust</w:t>
            </w:r>
          </w:p>
          <w:p w:rsidR="00623A44" w:rsidRPr="00DC04BA" w:rsidRDefault="00623A44" w:rsidP="009207C6">
            <w:pPr>
              <w:spacing w:before="100" w:beforeAutospacing="1" w:after="100" w:afterAutospacing="1"/>
            </w:pPr>
            <w:r w:rsidRPr="00DC04BA">
              <w:t>• Removal and Replacement of Trustees</w:t>
            </w:r>
            <w:r w:rsidRPr="00DC04BA">
              <w:br/>
              <w:t>– Carl originally named successor trustee; removed via 8/25/10 QBD and related instruments</w:t>
            </w:r>
            <w:r w:rsidRPr="00DC04BA">
              <w:br/>
              <w:t xml:space="preserve">– Nelva purportedly resigned as trustee in December 2010 and appointed Anita (then Amy) as trustee(s) of the Family Trust and successor trusts </w:t>
            </w:r>
          </w:p>
          <w:p w:rsidR="00623A44" w:rsidRPr="00DC04BA" w:rsidRDefault="00623A44" w:rsidP="009207C6">
            <w:pPr>
              <w:spacing w:before="100" w:beforeAutospacing="1" w:after="100" w:afterAutospacing="1"/>
            </w:pPr>
            <w:r w:rsidRPr="00DC04BA">
              <w:t>• Misappropriation and Conversion of Trust Assets</w:t>
            </w:r>
            <w:r w:rsidRPr="00DC04BA">
              <w:br/>
              <w:t>– Reallocation and transfers of ExxonMobil and Chevron stock to Anita, Amy, Carole, and Candace (1,120 shares to Amy; 160 shares to Anita; 160 shares to Candy; 1,325 shares to Carole; 135 shares each to siblings’ children)</w:t>
            </w:r>
            <w:r w:rsidRPr="00DC04BA">
              <w:br/>
              <w:t>– Unauthorized withdrawals and expenditures from trust accounts: trustee fees, personal credit card payments, children’s educational and auto expenses</w:t>
            </w:r>
            <w:r w:rsidRPr="00DC04BA">
              <w:br/>
              <w:t>– Closure and re-opening of Nelva’s safe-deposit box without inventory; disappearance of savings bonds and other valuables</w:t>
            </w:r>
            <w:r w:rsidRPr="00DC04BA">
              <w:br/>
              <w:t xml:space="preserve">– Failure to account for real property (e.g., Iowa farm lease) and personal property </w:t>
            </w:r>
          </w:p>
          <w:p w:rsidR="00623A44" w:rsidRPr="00DC04BA" w:rsidRDefault="00623A44" w:rsidP="009207C6">
            <w:pPr>
              <w:spacing w:before="100" w:beforeAutospacing="1" w:after="100" w:afterAutospacing="1"/>
            </w:pPr>
            <w:r w:rsidRPr="00DC04BA">
              <w:t>• Legal Theories and Claims (Common to Both Cases)</w:t>
            </w:r>
            <w:r w:rsidRPr="00DC04BA">
              <w:br/>
              <w:t>– Breach of fiduciary duty by trustees and attorneys (failure to act with loyalty, impartiality, candor)</w:t>
            </w:r>
            <w:r w:rsidRPr="00DC04BA">
              <w:br/>
              <w:t>– Negligence and negligence per se (violation of Texas Penal Code §§ 32.43, 32.45, 7.02)</w:t>
            </w:r>
            <w:r w:rsidRPr="00DC04BA">
              <w:br/>
              <w:t xml:space="preserve">– Aiding and abetting breaches of fiduciary duty (attorneys assisting </w:t>
            </w:r>
            <w:r w:rsidR="008D1085" w:rsidRPr="00DC04BA">
              <w:t xml:space="preserve">de facto </w:t>
            </w:r>
            <w:r w:rsidRPr="00DC04BA">
              <w:t>trustees in executing improper transfers)</w:t>
            </w:r>
            <w:r w:rsidRPr="00DC04BA">
              <w:br/>
              <w:t>– Fraud and fraudulent concealment (misrepresentations to Nelva and Carl; suppression of material facts)</w:t>
            </w:r>
            <w:r w:rsidRPr="00DC04BA">
              <w:br/>
              <w:t>– Conversion (wrongful exercise of dominion over trust property)</w:t>
            </w:r>
            <w:r w:rsidRPr="00DC04BA">
              <w:br/>
              <w:t>– Civil conspiracy (combination to effectuate undue influence and asset transfers)</w:t>
            </w:r>
            <w:r w:rsidRPr="00DC04BA">
              <w:br/>
              <w:t>– Negligent misrepresentation (false assurances regarding protection of estate plan)</w:t>
            </w:r>
            <w:r w:rsidRPr="00DC04BA">
              <w:br/>
              <w:t>– Deceptive Trade Practices Act violations (DTPA § 17.46 et seq.: unconscionable acts, false promises)</w:t>
            </w:r>
            <w:r w:rsidRPr="00DC04BA">
              <w:br/>
              <w:t>– Constructive trust (equitable imposition to recover wrongfully transferred assets)</w:t>
            </w:r>
            <w:r w:rsidRPr="00DC04BA">
              <w:br/>
              <w:t>– Demand for accounting and injunctive relief (preserve assets, prevent further transfers)</w:t>
            </w:r>
            <w:r w:rsidRPr="00DC04BA">
              <w:br/>
              <w:t>– Declaratory judgment (construe trust documents, in terrorem clauses)</w:t>
            </w:r>
            <w:r w:rsidRPr="00DC04BA">
              <w:br/>
              <w:t>– Attorneys’ fees and costs (Tex. Civ. Prac. &amp; Rem. Code and Tex. Prop. Code provisions)</w:t>
            </w:r>
            <w:r w:rsidRPr="00DC04BA">
              <w:br/>
              <w:t xml:space="preserve">– Exemplary (punitive) damages, prejudgment interest, pre- and post-judgment relief </w:t>
            </w:r>
          </w:p>
          <w:p w:rsidR="00623A44" w:rsidRPr="00DC04BA" w:rsidRDefault="00623A44" w:rsidP="009207C6">
            <w:pPr>
              <w:spacing w:before="100" w:beforeAutospacing="1" w:after="100" w:afterAutospacing="1"/>
            </w:pPr>
            <w:r w:rsidRPr="00DC04BA">
              <w:t>• Procedural Posture and Relief Sought</w:t>
            </w:r>
            <w:r w:rsidRPr="00DC04BA">
              <w:br/>
              <w:t>– Level 2 discovery under Texas Rules of Civil Procedure in both suits</w:t>
            </w:r>
            <w:r w:rsidRPr="00DC04BA">
              <w:br/>
              <w:t>– Requests for full accounting of trust administration and transactions</w:t>
            </w:r>
            <w:r w:rsidRPr="00DC04BA">
              <w:br/>
              <w:t>– Imposition of constructive trust over improperly transferred assets</w:t>
            </w:r>
            <w:r w:rsidRPr="00DC04BA">
              <w:br/>
              <w:t>– Injunctive orders to preserve assets and restrain trustees/agents from further dissipation</w:t>
            </w:r>
            <w:r w:rsidRPr="00DC04BA">
              <w:br/>
              <w:t>– Declaratory relief on validity and interpretation of trust instruments and in terrorem clauses</w:t>
            </w:r>
            <w:r w:rsidRPr="00DC04BA">
              <w:br/>
              <w:t xml:space="preserve">– Monetary damages (actual, treble under DTPA, exemplary/punitive) and disgorgement of fees paid to defendants </w:t>
            </w:r>
          </w:p>
          <w:p w:rsidR="00623A44" w:rsidRPr="00DC04BA" w:rsidRDefault="00623A44" w:rsidP="009207C6">
            <w:pPr>
              <w:spacing w:before="100" w:beforeAutospacing="1" w:after="100" w:afterAutospacing="1"/>
            </w:pPr>
            <w:r w:rsidRPr="00DC04BA">
              <w:t>• Underlying Pattern of Conduct</w:t>
            </w:r>
            <w:r w:rsidRPr="00DC04BA">
              <w:br/>
            </w:r>
            <w:r w:rsidRPr="00DC04BA">
              <w:lastRenderedPageBreak/>
              <w:t>– Siblings (Anita, Amy, Carole) collaborating to seize control of parents’ assets during Carl’s illness (encephalitis, July 2010)</w:t>
            </w:r>
            <w:r w:rsidRPr="00DC04BA">
              <w:br/>
              <w:t>– Use of family attorneys (Vacek &amp; Freed) to draft self-serving documents without proper client capacity checks</w:t>
            </w:r>
            <w:r w:rsidRPr="00DC04BA">
              <w:br/>
              <w:t>– Exclusion of Carl’s family and Candy’s children from discussions and distributions, coupled with preferential treatment of defendants’ own children</w:t>
            </w:r>
            <w:r w:rsidRPr="00DC04BA">
              <w:br/>
              <w:t>– Concealment of transactions and obstruction of beneficiary inquiries, prompting pre-suit discovery actions by Carl</w:t>
            </w:r>
          </w:p>
        </w:tc>
      </w:tr>
    </w:tbl>
    <w:p w:rsidR="00623A44" w:rsidRPr="00DC04BA" w:rsidRDefault="00623A44" w:rsidP="00623A44">
      <w:pPr>
        <w:pStyle w:val="NormalIndent"/>
      </w:pPr>
      <w:r w:rsidRPr="00DC04BA">
        <w:lastRenderedPageBreak/>
        <w:t xml:space="preserve">The state court having dominant jurisdiction is clearly Harris County’s 164th Judicial District Court. </w:t>
      </w:r>
    </w:p>
    <w:p w:rsidR="00623A44" w:rsidRPr="00DC04BA" w:rsidRDefault="00623A44" w:rsidP="0098504F">
      <w:pPr>
        <w:pStyle w:val="NormalIndent"/>
      </w:pPr>
      <w:r w:rsidRPr="00DC04BA">
        <w:t>On March 1, 2013 the 164</w:t>
      </w:r>
      <w:r w:rsidRPr="00DC04BA">
        <w:rPr>
          <w:vertAlign w:val="superscript"/>
        </w:rPr>
        <w:t>th</w:t>
      </w:r>
      <w:r w:rsidRPr="00DC04BA">
        <w:t xml:space="preserve"> Judicial District Court action was transferred to Probate Court No. 4 by order of the probate court [Ex 4-2] without a pending probate, as required by Texas Estates Code §34.001, and assigned ancillary cause No. 412249-403. That action continues to linger without a plaintiff.</w:t>
      </w:r>
    </w:p>
    <w:p w:rsidR="00992294" w:rsidRPr="00DC04BA" w:rsidRDefault="00992294" w:rsidP="00992294">
      <w:pPr>
        <w:pStyle w:val="Heading1"/>
        <w:rPr>
          <w:sz w:val="24"/>
          <w:szCs w:val="24"/>
        </w:rPr>
      </w:pPr>
      <w:r w:rsidRPr="00DC04BA">
        <w:rPr>
          <w:sz w:val="24"/>
          <w:szCs w:val="24"/>
        </w:rPr>
        <w:t>Causes and Orders Challenged</w:t>
      </w:r>
    </w:p>
    <w:p w:rsidR="00992294" w:rsidRPr="00DC04BA" w:rsidRDefault="00992294" w:rsidP="00992294">
      <w:pPr>
        <w:pStyle w:val="Heading2"/>
      </w:pPr>
      <w:r w:rsidRPr="00DC04BA">
        <w:t>412248 Estate of Elmer H. Brunsting</w:t>
      </w:r>
    </w:p>
    <w:p w:rsidR="00992294" w:rsidRPr="00DC04BA" w:rsidRDefault="00992294" w:rsidP="00992294">
      <w:pPr>
        <w:pStyle w:val="NormalIndent"/>
      </w:pPr>
      <w:r w:rsidRPr="00DC04BA">
        <w:t xml:space="preserve">The will </w:t>
      </w:r>
      <w:r w:rsidR="00A8752B" w:rsidRPr="00DC04BA">
        <w:t xml:space="preserve">of Elmer H. Brunsting </w:t>
      </w:r>
      <w:r w:rsidRPr="00DC04BA">
        <w:t xml:space="preserve">was admitted without challenge and Letters Testamentary </w:t>
      </w:r>
      <w:r w:rsidR="00EA3A6A" w:rsidRPr="00DC04BA">
        <w:t xml:space="preserve">for independent administration </w:t>
      </w:r>
      <w:r w:rsidRPr="00DC04BA">
        <w:t xml:space="preserve">were issued to Carl Henry Brunsting without challenge. </w:t>
      </w:r>
      <w:r w:rsidR="00EA3A6A" w:rsidRPr="00DC04BA">
        <w:t>The independent executor</w:t>
      </w:r>
      <w:r w:rsidR="00A8752B" w:rsidRPr="00DC04BA">
        <w:t>’</w:t>
      </w:r>
      <w:r w:rsidR="00EA3A6A" w:rsidRPr="00DC04BA">
        <w:t xml:space="preserve">s </w:t>
      </w:r>
      <w:r w:rsidRPr="00DC04BA">
        <w:t>verified inventory, appraisement and list of claims</w:t>
      </w:r>
      <w:r w:rsidR="00A8752B" w:rsidRPr="00DC04BA">
        <w:t xml:space="preserve"> were approved without objection and the probate of the administration of the Estate of Elmer H. Brunsting was closed without objection or motion to reopen. Petitioner Candace Louise Curtis herein raises no challenge to these actions in the probate court.</w:t>
      </w:r>
    </w:p>
    <w:p w:rsidR="00A8752B" w:rsidRPr="00DC04BA" w:rsidRDefault="00A8752B" w:rsidP="00A8752B">
      <w:pPr>
        <w:pStyle w:val="Heading2"/>
      </w:pPr>
      <w:r w:rsidRPr="00DC04BA">
        <w:t>412249 Estate of Nelva E. Brunsting</w:t>
      </w:r>
    </w:p>
    <w:p w:rsidR="00A8752B" w:rsidRPr="00DC04BA" w:rsidRDefault="00A8752B" w:rsidP="00A8752B">
      <w:pPr>
        <w:pStyle w:val="NormalIndent"/>
      </w:pPr>
      <w:r w:rsidRPr="00DC04BA">
        <w:t>The will of Nelva E. Brunsting was admitted without challenge and Letters Testamentary for independent administration were issued to Carl Henry Brunsting without challenge. The independent executor’s verified inventory, appraisement and list of claims were approved without objection and the probate of the administration of the Estate of Nelva E. Brunsting was closed without objection or motion to reopen. Petitioner Candace Louise Curtis herein raises no challenge to these actions in the probate court.</w:t>
      </w:r>
    </w:p>
    <w:p w:rsidR="00A8752B" w:rsidRPr="00DC04BA" w:rsidRDefault="00571F07" w:rsidP="004E152F">
      <w:pPr>
        <w:pStyle w:val="Heading2"/>
      </w:pPr>
      <w:r w:rsidRPr="00DC04BA">
        <w:t xml:space="preserve">412,249-401 </w:t>
      </w:r>
      <w:r w:rsidR="004E152F" w:rsidRPr="00DC04BA">
        <w:t>Carl Henry Brunsting, Individually and as Independent Executor of the Estates of Elmer H. Brunsting and Nelva E. Brunsting</w:t>
      </w:r>
    </w:p>
    <w:p w:rsidR="00B55D2B" w:rsidRPr="00DC04BA" w:rsidRDefault="00B55D2B" w:rsidP="00B55D2B">
      <w:pPr>
        <w:pStyle w:val="NormalIndent"/>
      </w:pPr>
      <w:r w:rsidRPr="00DC04BA">
        <w:t xml:space="preserve">This entire matter and all orders and rulings entered therein are herein challenged as void ab initio for want of subject matter jurisdiction. </w:t>
      </w:r>
    </w:p>
    <w:p w:rsidR="00B55D2B" w:rsidRPr="00DC04BA" w:rsidRDefault="00B55D2B" w:rsidP="00B55D2B">
      <w:pPr>
        <w:pStyle w:val="NormalIndent"/>
      </w:pPr>
      <w:r w:rsidRPr="00DC04BA">
        <w:t>In Texas, when the sole devisee of a decedent's will is a living trust, controversies exclusively related to the administration of the living trust are generally not considered ancillary matters to the probate proceedings. This distinction arises because the administration of a living trust is typically governed by trust law, not probate law, and falls outside the in rem jurisdiction of the probate court unless specific circumstances bring it within the court's purview.</w:t>
      </w:r>
    </w:p>
    <w:p w:rsidR="00B55D2B" w:rsidRPr="00DC04BA" w:rsidRDefault="00B55D2B" w:rsidP="00992294">
      <w:pPr>
        <w:pStyle w:val="NormalIndent"/>
      </w:pPr>
      <w:r w:rsidRPr="00DC04BA">
        <w:lastRenderedPageBreak/>
        <w:t xml:space="preserve">Because both decedents’ wills call for independent administration and direct that no action be taken in the probate court other than the recording of the will and the return of an inventory, appraisement and list of claims as required by law, both the will and the estates code (§402.001) prohibited further action of any nature in that court, after the inventory, appraisement and list of claims had been filed by the independent executor and approved by the probate court except where further action is specifically and explicitly authorized. </w:t>
      </w:r>
    </w:p>
    <w:p w:rsidR="00DD299F" w:rsidRPr="00DC04BA" w:rsidRDefault="00B55D2B" w:rsidP="00992294">
      <w:pPr>
        <w:pStyle w:val="NormalIndent"/>
      </w:pPr>
      <w:r w:rsidRPr="00DC04BA">
        <w:t>The</w:t>
      </w:r>
      <w:r w:rsidR="00DD299F" w:rsidRPr="00DC04BA">
        <w:t xml:space="preserve"> inventory, appraisement and list of claims was approved April 4, 2013 [Ex 1-4] &amp; [Ex 2-5] and no </w:t>
      </w:r>
      <w:r w:rsidRPr="00DC04BA">
        <w:t>exception</w:t>
      </w:r>
      <w:r w:rsidR="00DD299F" w:rsidRPr="00DC04BA">
        <w:t>, as required by Tex. Estates Code § 402.001,</w:t>
      </w:r>
      <w:r w:rsidRPr="00DC04BA">
        <w:t xml:space="preserve"> was cited in the action filed by the independent executor April 9, 2013</w:t>
      </w:r>
      <w:r w:rsidR="00DD299F" w:rsidRPr="00DC04BA">
        <w:t xml:space="preserve"> [Ex 3-1]. </w:t>
      </w:r>
    </w:p>
    <w:p w:rsidR="00A8752B" w:rsidRPr="00DC04BA" w:rsidRDefault="00B55D2B" w:rsidP="00992294">
      <w:pPr>
        <w:pStyle w:val="NormalIndent"/>
      </w:pPr>
      <w:r w:rsidRPr="00DC04BA">
        <w:t xml:space="preserve">  </w:t>
      </w:r>
      <w:r w:rsidR="00DD299F" w:rsidRPr="00DC04BA">
        <w:t>Elmer H. Brunsting passed April 1, 2009. The independent executor’s April 9, 2013 action exceeded the four year statute of limitations for bringing claims in the estate of Elmer Brunsting by five days.</w:t>
      </w:r>
    </w:p>
    <w:p w:rsidR="00DD299F" w:rsidRPr="00DC04BA" w:rsidRDefault="00DD299F" w:rsidP="00992294">
      <w:pPr>
        <w:pStyle w:val="NormalIndent"/>
      </w:pPr>
      <w:r w:rsidRPr="00DC04BA">
        <w:t>The estates were closed April 4, 2013. The independent executor resigned February 19, 2015. There was no administrator, no estate to administer and there was nothing for any action to be ancillary to.</w:t>
      </w:r>
    </w:p>
    <w:p w:rsidR="00DD299F" w:rsidRPr="00DC04BA" w:rsidRDefault="00DD299F" w:rsidP="00DD299F">
      <w:pPr>
        <w:pStyle w:val="Heading2"/>
      </w:pPr>
      <w:r w:rsidRPr="00DC04BA">
        <w:t xml:space="preserve">412,249-402 </w:t>
      </w:r>
      <w:r w:rsidR="007474B3" w:rsidRPr="00DC04BA">
        <w:t>Who – What?</w:t>
      </w:r>
    </w:p>
    <w:p w:rsidR="007474B3" w:rsidRPr="00DC04BA" w:rsidRDefault="00DD299F" w:rsidP="0098504F">
      <w:pPr>
        <w:pStyle w:val="NormalIndent"/>
      </w:pPr>
      <w:r w:rsidRPr="00DC04BA">
        <w:t>This entire matter and all orders and rulings entered therein are herein challenged as void ab initio for want of subject matter jurisdiction</w:t>
      </w:r>
      <w:r w:rsidR="0057031D" w:rsidRPr="00DC04BA">
        <w:t>. A</w:t>
      </w:r>
      <w:r w:rsidR="007474B3" w:rsidRPr="00DC04BA">
        <w:t>ll objections and challenges to 412249-401 are incorporated by this reference as if fully set forth</w:t>
      </w:r>
      <w:r w:rsidR="0057031D" w:rsidRPr="00DC04BA">
        <w:t xml:space="preserve"> herein</w:t>
      </w:r>
      <w:r w:rsidR="007474B3" w:rsidRPr="00DC04BA">
        <w:t xml:space="preserve">. </w:t>
      </w:r>
    </w:p>
    <w:p w:rsidR="00DD299F" w:rsidRPr="00DC04BA" w:rsidRDefault="007474B3" w:rsidP="0098504F">
      <w:pPr>
        <w:pStyle w:val="NormalIndent"/>
      </w:pPr>
      <w:r w:rsidRPr="00DC04BA">
        <w:t xml:space="preserve">This ancillary action was allegedly created by a remand from the federal court that was accepted as if it was an instate transfer. </w:t>
      </w:r>
      <w:r w:rsidR="00B728D6" w:rsidRPr="00DC04BA">
        <w:t xml:space="preserve">Petitioner did not file suit in the state probate court. Petitioner filed suit in the Southern District of Texas. That suit was dismissed under the probate exception but reversed by the Fifth Circuit court of Appeals Curtis v Brunsting 704 F.3d 406 (Jan. 9, 2013) This was the first case filed in relation to the Brunsting family Living Trust and the Fifth Circuit opinion is entitled to Full Faith and Credit pursuant to Article IV Section 1 of the U.S. Constitution. Petitioners’ federal action has nothing to do with probate. </w:t>
      </w:r>
    </w:p>
    <w:p w:rsidR="00DD299F" w:rsidRPr="00DC04BA" w:rsidRDefault="00DD299F" w:rsidP="0098504F">
      <w:pPr>
        <w:pStyle w:val="NormalIndent"/>
      </w:pPr>
    </w:p>
    <w:p w:rsidR="003F0422" w:rsidRPr="00DC04BA" w:rsidRDefault="003F0422" w:rsidP="00F732C2">
      <w:pPr>
        <w:pStyle w:val="Heading1"/>
        <w:rPr>
          <w:sz w:val="24"/>
          <w:szCs w:val="24"/>
        </w:rPr>
      </w:pPr>
      <w:r w:rsidRPr="00DC04BA">
        <w:rPr>
          <w:rStyle w:val="Heading1Char"/>
          <w:b/>
          <w:sz w:val="24"/>
          <w:szCs w:val="24"/>
        </w:rPr>
        <w:t>Key Points</w:t>
      </w:r>
    </w:p>
    <w:p w:rsidR="003F0422" w:rsidRPr="00DC04BA" w:rsidRDefault="003F0422" w:rsidP="003F0422">
      <w:pPr>
        <w:numPr>
          <w:ilvl w:val="0"/>
          <w:numId w:val="47"/>
        </w:numPr>
        <w:spacing w:before="100" w:beforeAutospacing="1" w:after="100" w:afterAutospacing="1"/>
      </w:pPr>
      <w:r w:rsidRPr="00DC04BA">
        <w:rPr>
          <w:b/>
          <w:bCs/>
        </w:rPr>
        <w:t>No Formal Closing Requirement</w:t>
      </w:r>
      <w:r w:rsidRPr="00DC04BA">
        <w:t>:</w:t>
      </w:r>
    </w:p>
    <w:p w:rsidR="003F0422" w:rsidRPr="00DC04BA" w:rsidRDefault="003F0422" w:rsidP="003F0422">
      <w:pPr>
        <w:numPr>
          <w:ilvl w:val="1"/>
          <w:numId w:val="47"/>
        </w:numPr>
        <w:spacing w:before="100" w:beforeAutospacing="1" w:after="100" w:afterAutospacing="1"/>
      </w:pPr>
      <w:r w:rsidRPr="00DC04BA">
        <w:t>Under Texas Estates Code Section 405.003, an independent executor is not required to formally close the estate in court. Once the executor has completed the administration of the estate, including paying debts, distributing assets, and filing any required tax returns, the administration is considered complete.</w:t>
      </w:r>
    </w:p>
    <w:p w:rsidR="003F0422" w:rsidRPr="00DC04BA" w:rsidRDefault="003F0422" w:rsidP="003F0422">
      <w:pPr>
        <w:numPr>
          <w:ilvl w:val="0"/>
          <w:numId w:val="47"/>
        </w:numPr>
        <w:spacing w:before="100" w:beforeAutospacing="1" w:after="100" w:afterAutospacing="1"/>
      </w:pPr>
      <w:r w:rsidRPr="00DC04BA">
        <w:rPr>
          <w:b/>
          <w:bCs/>
        </w:rPr>
        <w:t>Optional Affidavit of Completion</w:t>
      </w:r>
      <w:r w:rsidRPr="00DC04BA">
        <w:t>:</w:t>
      </w:r>
    </w:p>
    <w:p w:rsidR="003F0422" w:rsidRPr="00DC04BA" w:rsidRDefault="003F0422" w:rsidP="003F0422">
      <w:pPr>
        <w:numPr>
          <w:ilvl w:val="1"/>
          <w:numId w:val="47"/>
        </w:numPr>
        <w:spacing w:before="100" w:beforeAutospacing="1" w:after="100" w:afterAutospacing="1"/>
      </w:pPr>
      <w:r w:rsidRPr="00DC04BA">
        <w:t>The independent executor may file an affidavit of completion of administration under Texas Estates Code Section 405.004. This affidavit serves as a formal declaration that the administration is complete, but it is not mandatory.</w:t>
      </w:r>
    </w:p>
    <w:p w:rsidR="003F0422" w:rsidRPr="00DC04BA" w:rsidRDefault="003F0422" w:rsidP="003F0422">
      <w:pPr>
        <w:numPr>
          <w:ilvl w:val="0"/>
          <w:numId w:val="47"/>
        </w:numPr>
        <w:spacing w:before="100" w:beforeAutospacing="1" w:after="100" w:afterAutospacing="1"/>
      </w:pPr>
      <w:r w:rsidRPr="00DC04BA">
        <w:rPr>
          <w:b/>
          <w:bCs/>
        </w:rPr>
        <w:t>Final Accounting and Distribution</w:t>
      </w:r>
      <w:r w:rsidRPr="00DC04BA">
        <w:t>:</w:t>
      </w:r>
    </w:p>
    <w:p w:rsidR="00992294" w:rsidRPr="00DC04BA" w:rsidRDefault="003F0422" w:rsidP="003F0422">
      <w:pPr>
        <w:numPr>
          <w:ilvl w:val="1"/>
          <w:numId w:val="47"/>
        </w:numPr>
        <w:spacing w:before="100" w:beforeAutospacing="1" w:after="100" w:afterAutospacing="1"/>
      </w:pPr>
      <w:r w:rsidRPr="00DC04BA">
        <w:lastRenderedPageBreak/>
        <w:t>While independent administration typically avoids court supervision, interested parties (e.g., heirs or beneficiaries) may request an accounting or distribution under Texas Estates Code Section 405.001. This is not a formal closing procedure but rather a mechanism to ensure transparency and proper administration.</w:t>
      </w:r>
      <w:r w:rsidR="00992294" w:rsidRPr="00DC04BA">
        <w:t xml:space="preserve"> </w:t>
      </w:r>
    </w:p>
    <w:p w:rsidR="003F0422" w:rsidRPr="00DC04BA" w:rsidRDefault="00992294" w:rsidP="003F0422">
      <w:pPr>
        <w:numPr>
          <w:ilvl w:val="1"/>
          <w:numId w:val="47"/>
        </w:numPr>
        <w:spacing w:before="100" w:beforeAutospacing="1" w:after="100" w:afterAutospacing="1"/>
      </w:pPr>
      <w:r w:rsidRPr="00DC04BA">
        <w:t xml:space="preserve">No one challenged the independent executors’ verified inventory, appraisement and list of claims and no one filed a request for accounting or distribution under Texas Estates Code Section 405.001. </w:t>
      </w:r>
    </w:p>
    <w:p w:rsidR="003F0422" w:rsidRPr="00DC04BA" w:rsidRDefault="003F0422" w:rsidP="003F0422">
      <w:pPr>
        <w:numPr>
          <w:ilvl w:val="0"/>
          <w:numId w:val="47"/>
        </w:numPr>
        <w:spacing w:before="100" w:beforeAutospacing="1" w:after="100" w:afterAutospacing="1"/>
      </w:pPr>
      <w:r w:rsidRPr="00DC04BA">
        <w:rPr>
          <w:b/>
          <w:bCs/>
        </w:rPr>
        <w:t>Case Law Guidance</w:t>
      </w:r>
      <w:r w:rsidRPr="00DC04BA">
        <w:t>:</w:t>
      </w:r>
    </w:p>
    <w:p w:rsidR="003F0422" w:rsidRPr="00DC04BA" w:rsidRDefault="003F0422" w:rsidP="003F0422">
      <w:pPr>
        <w:numPr>
          <w:ilvl w:val="1"/>
          <w:numId w:val="47"/>
        </w:numPr>
        <w:spacing w:before="100" w:beforeAutospacing="1" w:after="100" w:afterAutospacing="1"/>
      </w:pPr>
      <w:r w:rsidRPr="00DC04BA">
        <w:t>Texas courts have consistently held that independent administration is designed to operate with minimal court supervision. Formal closing procedures are generally not required unless specifically requested by an interested party or necessitated by disputes.</w:t>
      </w:r>
    </w:p>
    <w:p w:rsidR="00916AC2" w:rsidRPr="00DC04BA" w:rsidRDefault="00916AC2" w:rsidP="00916AC2">
      <w:pPr>
        <w:numPr>
          <w:ilvl w:val="0"/>
          <w:numId w:val="49"/>
        </w:numPr>
        <w:spacing w:before="100" w:beforeAutospacing="1" w:after="100" w:afterAutospacing="1"/>
      </w:pPr>
      <w:r w:rsidRPr="00DC04BA">
        <w:rPr>
          <w:b/>
          <w:bCs/>
        </w:rPr>
        <w:t>Jurisdiction of Probate Courts</w:t>
      </w:r>
      <w:r w:rsidRPr="00DC04BA">
        <w:t>:</w:t>
      </w:r>
    </w:p>
    <w:p w:rsidR="00916AC2" w:rsidRPr="00DC04BA" w:rsidRDefault="00916AC2" w:rsidP="00916AC2">
      <w:pPr>
        <w:numPr>
          <w:ilvl w:val="1"/>
          <w:numId w:val="49"/>
        </w:numPr>
        <w:spacing w:before="100" w:beforeAutospacing="1" w:after="100" w:afterAutospacing="1"/>
      </w:pPr>
      <w:r w:rsidRPr="00DC04BA">
        <w:t>Probate courts in Texas have jurisdiction over matters related to the probate of wills, the administration of estates, and related disputes. However, the administration of a living trust is generally outside the scope of probate court jurisdiction unless it directly impacts the estate or probate process.</w:t>
      </w:r>
    </w:p>
    <w:p w:rsidR="00916AC2" w:rsidRPr="00DC04BA" w:rsidRDefault="00916AC2" w:rsidP="00916AC2">
      <w:pPr>
        <w:numPr>
          <w:ilvl w:val="0"/>
          <w:numId w:val="49"/>
        </w:numPr>
        <w:spacing w:before="100" w:beforeAutospacing="1" w:after="100" w:afterAutospacing="1"/>
      </w:pPr>
      <w:r w:rsidRPr="00DC04BA">
        <w:rPr>
          <w:b/>
          <w:bCs/>
        </w:rPr>
        <w:t>Living Trusts as Separate Entities</w:t>
      </w:r>
      <w:r w:rsidRPr="00DC04BA">
        <w:t>:</w:t>
      </w:r>
    </w:p>
    <w:p w:rsidR="00916AC2" w:rsidRPr="00DC04BA" w:rsidRDefault="00916AC2" w:rsidP="00916AC2">
      <w:pPr>
        <w:numPr>
          <w:ilvl w:val="1"/>
          <w:numId w:val="49"/>
        </w:numPr>
        <w:spacing w:before="100" w:beforeAutospacing="1" w:after="100" w:afterAutospacing="1"/>
      </w:pPr>
      <w:r w:rsidRPr="00DC04BA">
        <w:t>A living trust is a separate legal entity, and its administration is governed by the terms of the trust and the Texas Property Code (Trust Code). Disputes related solely to the trust's administration are typically handled in a court with general jurisdiction, not the probate court.</w:t>
      </w:r>
    </w:p>
    <w:p w:rsidR="00916AC2" w:rsidRPr="00DC04BA" w:rsidRDefault="00916AC2" w:rsidP="00916AC2">
      <w:pPr>
        <w:numPr>
          <w:ilvl w:val="0"/>
          <w:numId w:val="49"/>
        </w:numPr>
        <w:spacing w:before="100" w:beforeAutospacing="1" w:after="100" w:afterAutospacing="1"/>
      </w:pPr>
      <w:r w:rsidRPr="00DC04BA">
        <w:rPr>
          <w:b/>
          <w:bCs/>
        </w:rPr>
        <w:t>Ancillary Matters in Probate</w:t>
      </w:r>
      <w:r w:rsidRPr="00DC04BA">
        <w:t>:</w:t>
      </w:r>
    </w:p>
    <w:p w:rsidR="00916AC2" w:rsidRPr="00DC04BA" w:rsidRDefault="00916AC2" w:rsidP="00916AC2">
      <w:pPr>
        <w:numPr>
          <w:ilvl w:val="1"/>
          <w:numId w:val="49"/>
        </w:numPr>
        <w:spacing w:before="100" w:beforeAutospacing="1" w:after="100" w:afterAutospacing="1"/>
      </w:pPr>
      <w:r w:rsidRPr="00DC04BA">
        <w:t>Ancillary matters in probate are those that are directly related to the administration of the decedent's estate, such as disputes over the validity of the will, creditor claims, or distribution of estate assets. Controversies related solely to the administration of a living trust do not fall into this category unless they affect the estate.</w:t>
      </w:r>
    </w:p>
    <w:p w:rsidR="00916AC2" w:rsidRPr="00DC04BA" w:rsidRDefault="00916AC2" w:rsidP="00916AC2">
      <w:pPr>
        <w:numPr>
          <w:ilvl w:val="0"/>
          <w:numId w:val="49"/>
        </w:numPr>
        <w:spacing w:before="100" w:beforeAutospacing="1" w:after="100" w:afterAutospacing="1"/>
      </w:pPr>
      <w:r w:rsidRPr="00DC04BA">
        <w:rPr>
          <w:b/>
          <w:bCs/>
        </w:rPr>
        <w:t>Case Law Guidance</w:t>
      </w:r>
      <w:r w:rsidRPr="00DC04BA">
        <w:t>:</w:t>
      </w:r>
    </w:p>
    <w:p w:rsidR="00916AC2" w:rsidRPr="00DC04BA" w:rsidRDefault="00916AC2" w:rsidP="00916AC2">
      <w:pPr>
        <w:numPr>
          <w:ilvl w:val="1"/>
          <w:numId w:val="49"/>
        </w:numPr>
        <w:spacing w:before="100" w:beforeAutospacing="1" w:after="100" w:afterAutospacing="1"/>
      </w:pPr>
      <w:r w:rsidRPr="00DC04BA">
        <w:t>Texas courts have held that probate courts do not have jurisdiction over disputes involving living trusts unless the dispute impacts the estate or probate process. For example, if the trust is the sole devisee and there is a question about the validity of the will or the transfer of assets to the trust, the probate court may address those issues. However, once the assets are transferred to the trust, disputes about the trust's administration are generally outside the probate court's jurisdiction.</w:t>
      </w:r>
    </w:p>
    <w:p w:rsidR="00916AC2" w:rsidRPr="00DC04BA" w:rsidRDefault="00916AC2" w:rsidP="00916AC2">
      <w:pPr>
        <w:numPr>
          <w:ilvl w:val="0"/>
          <w:numId w:val="49"/>
        </w:numPr>
        <w:spacing w:before="100" w:beforeAutospacing="1" w:after="100" w:afterAutospacing="1"/>
      </w:pPr>
      <w:r w:rsidRPr="00DC04BA">
        <w:rPr>
          <w:b/>
          <w:bCs/>
        </w:rPr>
        <w:t>Relevant Statutes</w:t>
      </w:r>
      <w:r w:rsidRPr="00DC04BA">
        <w:t>:</w:t>
      </w:r>
    </w:p>
    <w:p w:rsidR="00916AC2" w:rsidRPr="00DC04BA" w:rsidRDefault="00916AC2" w:rsidP="00916AC2">
      <w:pPr>
        <w:numPr>
          <w:ilvl w:val="1"/>
          <w:numId w:val="49"/>
        </w:numPr>
        <w:spacing w:before="100" w:beforeAutospacing="1" w:after="100" w:afterAutospacing="1"/>
      </w:pPr>
      <w:r w:rsidRPr="00DC04BA">
        <w:t>Texas Estates Code and Texas Property Code provide guidance on the jurisdiction of probate courts and the administration of trusts. The Estates Code governs probate matters, while the Property Code governs trust administration.</w:t>
      </w:r>
    </w:p>
    <w:p w:rsidR="00916AC2" w:rsidRPr="00DC04BA" w:rsidRDefault="00916AC2" w:rsidP="00916AC2">
      <w:pPr>
        <w:pStyle w:val="Heading1"/>
        <w:rPr>
          <w:sz w:val="24"/>
          <w:szCs w:val="24"/>
        </w:rPr>
      </w:pPr>
      <w:r w:rsidRPr="00DC04BA">
        <w:rPr>
          <w:sz w:val="24"/>
          <w:szCs w:val="24"/>
        </w:rPr>
        <w:t>Conclusion:</w:t>
      </w:r>
    </w:p>
    <w:p w:rsidR="00916AC2" w:rsidRPr="00DC04BA" w:rsidRDefault="00916AC2" w:rsidP="00916AC2">
      <w:pPr>
        <w:pStyle w:val="NormalIndent"/>
      </w:pPr>
      <w:r w:rsidRPr="00DC04BA">
        <w:t xml:space="preserve">Independent administration of a decedent's estate in Texas does not require formal closing procedures. The process is designed to be efficient and minimize court involvement. </w:t>
      </w:r>
      <w:r w:rsidRPr="00DC04BA">
        <w:lastRenderedPageBreak/>
        <w:t>However, the independent executor may choose to file an affidavit of completion, and court involvement may occur if disputes or requests for an estate accounting arise.</w:t>
      </w:r>
    </w:p>
    <w:p w:rsidR="00992294" w:rsidRPr="00DC04BA" w:rsidRDefault="00992294" w:rsidP="00916AC2">
      <w:pPr>
        <w:spacing w:before="100" w:beforeAutospacing="1" w:after="100" w:afterAutospacing="1"/>
      </w:pPr>
    </w:p>
    <w:p w:rsidR="00623A44" w:rsidRPr="00DC04BA" w:rsidRDefault="00623A44" w:rsidP="008D1085">
      <w:pPr>
        <w:pStyle w:val="Heading1"/>
        <w:rPr>
          <w:sz w:val="24"/>
          <w:szCs w:val="24"/>
        </w:rPr>
      </w:pPr>
      <w:r w:rsidRPr="00DC04BA">
        <w:rPr>
          <w:sz w:val="24"/>
          <w:szCs w:val="24"/>
        </w:rPr>
        <w:t>PRAYER FOR RELIEF</w:t>
      </w:r>
    </w:p>
    <w:p w:rsidR="00623A44" w:rsidRPr="00DC04BA" w:rsidRDefault="00623A44" w:rsidP="00623A44">
      <w:r w:rsidRPr="00DC04BA">
        <w:t>WHEREFORE, Plaintiff Candace Louise Curtis respectfully prays that this Court:</w:t>
      </w:r>
    </w:p>
    <w:p w:rsidR="00623A44" w:rsidRPr="00DC04BA" w:rsidRDefault="00623A44" w:rsidP="00623A44">
      <w:r w:rsidRPr="00DC04BA">
        <w:t xml:space="preserve">A. </w:t>
      </w:r>
      <w:r w:rsidRPr="00DC04BA">
        <w:rPr>
          <w:b/>
        </w:rPr>
        <w:t>Declaratorily</w:t>
      </w:r>
      <w:r w:rsidRPr="00DC04BA">
        <w:t xml:space="preserve"> find that all orders and judgments entered </w:t>
      </w:r>
      <w:r w:rsidR="0098504F" w:rsidRPr="00DC04BA">
        <w:t>in</w:t>
      </w:r>
      <w:r w:rsidRPr="00DC04BA">
        <w:t xml:space="preserve"> Harris County </w:t>
      </w:r>
      <w:r w:rsidR="0098504F" w:rsidRPr="00DC04BA">
        <w:t xml:space="preserve">Statutory </w:t>
      </w:r>
      <w:r w:rsidRPr="00DC04BA">
        <w:t xml:space="preserve">Probate Court </w:t>
      </w:r>
      <w:r w:rsidR="0098504F" w:rsidRPr="00DC04BA">
        <w:t xml:space="preserve">Number 4 in </w:t>
      </w:r>
      <w:r w:rsidR="00B834D0" w:rsidRPr="00DC04BA">
        <w:t xml:space="preserve">ancillary </w:t>
      </w:r>
      <w:r w:rsidR="0098504F" w:rsidRPr="00DC04BA">
        <w:t xml:space="preserve">Cause No. 412249-401 </w:t>
      </w:r>
      <w:r w:rsidRPr="00DC04BA">
        <w:t>are void ab initio for lack of subject matter jurisdiction;</w:t>
      </w:r>
    </w:p>
    <w:p w:rsidR="00623A44" w:rsidRPr="00DC04BA" w:rsidRDefault="00623A44" w:rsidP="00623A44">
      <w:r w:rsidRPr="00DC04BA">
        <w:t xml:space="preserve">B. </w:t>
      </w:r>
      <w:r w:rsidRPr="00DC04BA">
        <w:rPr>
          <w:b/>
        </w:rPr>
        <w:t>Vacate and set aside</w:t>
      </w:r>
      <w:r w:rsidRPr="00DC04BA">
        <w:t xml:space="preserve"> all such orders, and </w:t>
      </w:r>
      <w:r w:rsidR="0098504F" w:rsidRPr="00DC04BA">
        <w:t xml:space="preserve">Order Harris County Statutory Probate Court Number 4 to </w:t>
      </w:r>
      <w:r w:rsidRPr="00DC04BA">
        <w:t>dismiss Cause No. 412249-401 with prejudice;</w:t>
      </w:r>
    </w:p>
    <w:p w:rsidR="00623A44" w:rsidRPr="00DC04BA" w:rsidRDefault="00623A44" w:rsidP="00623A44">
      <w:r w:rsidRPr="00DC04BA">
        <w:t xml:space="preserve">C. </w:t>
      </w:r>
      <w:r w:rsidRPr="00DC04BA">
        <w:rPr>
          <w:b/>
        </w:rPr>
        <w:t>Enter judgment</w:t>
      </w:r>
      <w:r w:rsidRPr="00DC04BA">
        <w:t xml:space="preserve"> declaring that the Probate Court’s unauthorized actions have no legal effect with respect to the trust assets, and that Plaintiff’s trust claims (including claims for accounting, damages, and breach of fiduciary duty) are not subject to probate jurisdiction;</w:t>
      </w:r>
    </w:p>
    <w:p w:rsidR="008D1085" w:rsidRPr="00DC04BA" w:rsidRDefault="00623A44" w:rsidP="00623A44">
      <w:r w:rsidRPr="00DC04BA">
        <w:t xml:space="preserve">D. </w:t>
      </w:r>
      <w:r w:rsidR="008D1085" w:rsidRPr="00DC04BA">
        <w:rPr>
          <w:b/>
        </w:rPr>
        <w:t>Order</w:t>
      </w:r>
      <w:r w:rsidR="008D1085" w:rsidRPr="00DC04BA">
        <w:t xml:space="preserve"> the District Court Case be returned to District Court 164</w:t>
      </w:r>
    </w:p>
    <w:p w:rsidR="00623A44" w:rsidRPr="00DC04BA" w:rsidRDefault="008D1085" w:rsidP="00623A44">
      <w:r w:rsidRPr="00DC04BA">
        <w:t xml:space="preserve">E. </w:t>
      </w:r>
      <w:r w:rsidR="00623A44" w:rsidRPr="00DC04BA">
        <w:rPr>
          <w:b/>
        </w:rPr>
        <w:t xml:space="preserve">Impose a constructive trust </w:t>
      </w:r>
      <w:r w:rsidR="00623A44" w:rsidRPr="00DC04BA">
        <w:t>on any misappropriated trust assets and order a complete accounting;</w:t>
      </w:r>
    </w:p>
    <w:p w:rsidR="00623A44" w:rsidRPr="00DC04BA" w:rsidRDefault="008D1085" w:rsidP="00623A44">
      <w:r w:rsidRPr="00DC04BA">
        <w:t xml:space="preserve">F. </w:t>
      </w:r>
      <w:r w:rsidR="00623A44" w:rsidRPr="00DC04BA">
        <w:rPr>
          <w:b/>
        </w:rPr>
        <w:t>Grant additional injunctive relief</w:t>
      </w:r>
      <w:r w:rsidR="00623A44" w:rsidRPr="00DC04BA">
        <w:t xml:space="preserve"> preventing any further assertion of jurisdiction by the Probate Court in this matter;</w:t>
      </w:r>
    </w:p>
    <w:p w:rsidR="00623A44" w:rsidRPr="00DC04BA" w:rsidRDefault="00623A44" w:rsidP="00623A44">
      <w:r w:rsidRPr="00DC04BA">
        <w:t xml:space="preserve">F. </w:t>
      </w:r>
      <w:r w:rsidRPr="00DC04BA">
        <w:rPr>
          <w:b/>
        </w:rPr>
        <w:t>Award Plaintiff</w:t>
      </w:r>
      <w:r w:rsidRPr="00DC04BA">
        <w:t xml:space="preserve"> her costs, reasonable attorney’s fees, and such other relief as the Court deems just and proper.</w:t>
      </w:r>
    </w:p>
    <w:p w:rsidR="00623A44" w:rsidRPr="00DC04BA" w:rsidRDefault="00623A44" w:rsidP="00623A44">
      <w:r w:rsidRPr="00DC04BA">
        <w:t>Respectfully submitted,</w:t>
      </w:r>
    </w:p>
    <w:p w:rsidR="00623A44" w:rsidRPr="00DC04BA" w:rsidRDefault="00623A44" w:rsidP="00623A44">
      <w:r w:rsidRPr="00DC04BA">
        <w:t>  ______________________________</w:t>
      </w:r>
      <w:r w:rsidRPr="00DC04BA">
        <w:br/>
        <w:t>  Candace Louise Curtis</w:t>
      </w:r>
      <w:r w:rsidRPr="00DC04BA">
        <w:br/>
        <w:t>  218 Landana St</w:t>
      </w:r>
      <w:r w:rsidRPr="00DC04BA">
        <w:br/>
        <w:t>  American Canyon, CA 94503</w:t>
      </w:r>
      <w:r w:rsidRPr="00DC04BA">
        <w:br/>
        <w:t xml:space="preserve">  Email: </w:t>
      </w:r>
      <w:hyperlink r:id="rId14">
        <w:r w:rsidRPr="00DC04BA">
          <w:rPr>
            <w:rStyle w:val="Hyperlink"/>
          </w:rPr>
          <w:t>occurtis@sbcgloabal.net</w:t>
        </w:r>
      </w:hyperlink>
    </w:p>
    <w:p w:rsidR="00623A44" w:rsidRPr="00DC04BA" w:rsidRDefault="00623A44" w:rsidP="008D1085">
      <w:pPr>
        <w:pStyle w:val="Heading1"/>
        <w:rPr>
          <w:sz w:val="24"/>
          <w:szCs w:val="24"/>
        </w:rPr>
      </w:pPr>
      <w:r w:rsidRPr="00DC04BA">
        <w:rPr>
          <w:sz w:val="24"/>
          <w:szCs w:val="24"/>
        </w:rPr>
        <w:t>CERTIFICATE OF SERVICE</w:t>
      </w:r>
    </w:p>
    <w:p w:rsidR="00623A44" w:rsidRPr="00DC04BA" w:rsidRDefault="00623A44" w:rsidP="00623A44">
      <w:r w:rsidRPr="00DC04BA">
        <w:t>I hereby certify that a true and correct copy of the foregoing Petition has been electronically transmitted to counsel for the Defendants via the Texas e-filing system and email on this 3rd day of May, 2025.</w:t>
      </w:r>
    </w:p>
    <w:p w:rsidR="00623A44" w:rsidRPr="00DC04BA" w:rsidRDefault="00623A44" w:rsidP="00623A44"/>
    <w:p w:rsidR="00623A44" w:rsidRPr="00DC04BA" w:rsidRDefault="00623A44" w:rsidP="00623A44">
      <w:r w:rsidRPr="00DC04BA">
        <w:rPr>
          <w:highlight w:val="yellow"/>
        </w:rPr>
        <w:t>  ______________________________</w:t>
      </w:r>
      <w:r w:rsidRPr="00DC04BA">
        <w:rPr>
          <w:highlight w:val="yellow"/>
        </w:rPr>
        <w:br/>
        <w:t>  Candace Louise Curtis</w:t>
      </w:r>
    </w:p>
    <w:p w:rsidR="0051508C" w:rsidRPr="00DC04BA" w:rsidRDefault="0051508C" w:rsidP="008D1085">
      <w:pPr>
        <w:pStyle w:val="Heading1"/>
        <w:numPr>
          <w:ilvl w:val="0"/>
          <w:numId w:val="0"/>
        </w:numPr>
        <w:jc w:val="left"/>
        <w:rPr>
          <w:sz w:val="24"/>
          <w:szCs w:val="24"/>
        </w:rPr>
      </w:pPr>
    </w:p>
    <w:sectPr w:rsidR="0051508C" w:rsidRPr="00DC04BA" w:rsidSect="005C53EF">
      <w:footerReference w:type="default" r:id="rId1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236" w:rsidRDefault="00BC0236" w:rsidP="00BA03D7">
      <w:r>
        <w:separator/>
      </w:r>
    </w:p>
  </w:endnote>
  <w:endnote w:type="continuationSeparator" w:id="0">
    <w:p w:rsidR="00BC0236" w:rsidRDefault="00BC0236" w:rsidP="00BA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4401462"/>
      <w:docPartObj>
        <w:docPartGallery w:val="Page Numbers (Bottom of Page)"/>
        <w:docPartUnique/>
      </w:docPartObj>
    </w:sdtPr>
    <w:sdtEndPr>
      <w:rPr>
        <w:noProof/>
      </w:rPr>
    </w:sdtEndPr>
    <w:sdtContent>
      <w:p w:rsidR="00D54B77" w:rsidRDefault="00D54B77">
        <w:pPr>
          <w:pStyle w:val="Footer"/>
          <w:jc w:val="right"/>
        </w:pPr>
        <w:r>
          <w:fldChar w:fldCharType="begin"/>
        </w:r>
        <w:r>
          <w:instrText xml:space="preserve"> PAGE   \* MERGEFORMAT </w:instrText>
        </w:r>
        <w:r>
          <w:fldChar w:fldCharType="separate"/>
        </w:r>
        <w:r w:rsidR="00BC0236">
          <w:rPr>
            <w:noProof/>
          </w:rPr>
          <w:t>1</w:t>
        </w:r>
        <w:r>
          <w:rPr>
            <w:noProof/>
          </w:rPr>
          <w:fldChar w:fldCharType="end"/>
        </w:r>
      </w:p>
    </w:sdtContent>
  </w:sdt>
  <w:p w:rsidR="00D54B77" w:rsidRDefault="00D54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236" w:rsidRDefault="00BC0236" w:rsidP="00BA03D7">
      <w:r>
        <w:separator/>
      </w:r>
    </w:p>
  </w:footnote>
  <w:footnote w:type="continuationSeparator" w:id="0">
    <w:p w:rsidR="00BC0236" w:rsidRDefault="00BC0236" w:rsidP="00BA0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2CB5"/>
    <w:multiLevelType w:val="hybridMultilevel"/>
    <w:tmpl w:val="3CAE69BC"/>
    <w:lvl w:ilvl="0" w:tplc="CAD014DE">
      <w:start w:val="1"/>
      <w:numFmt w:val="decimal"/>
      <w:pStyle w:val="NumPara1"/>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A24418B"/>
    <w:multiLevelType w:val="multilevel"/>
    <w:tmpl w:val="898063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3F21B9"/>
    <w:multiLevelType w:val="multilevel"/>
    <w:tmpl w:val="E9E6DDC0"/>
    <w:lvl w:ilvl="0">
      <w:start w:val="1"/>
      <w:numFmt w:val="decimal"/>
      <w:pStyle w:val="NormalWeb"/>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CF5706"/>
    <w:multiLevelType w:val="hybridMultilevel"/>
    <w:tmpl w:val="D92C05F2"/>
    <w:lvl w:ilvl="0" w:tplc="593E260C">
      <w:start w:val="1"/>
      <w:numFmt w:val="decimal"/>
      <w:lvlText w:val="%1."/>
      <w:lvlJc w:val="left"/>
      <w:pPr>
        <w:ind w:left="360" w:hanging="360"/>
      </w:pPr>
      <w:rPr>
        <w:rFonts w:hint="default"/>
      </w:rPr>
    </w:lvl>
    <w:lvl w:ilvl="1" w:tplc="8192510E">
      <w:start w:val="1"/>
      <w:numFmt w:val="lowerLetter"/>
      <w:lvlText w:val="%2."/>
      <w:lvlJc w:val="left"/>
      <w:pPr>
        <w:ind w:left="1440" w:hanging="360"/>
      </w:pPr>
    </w:lvl>
    <w:lvl w:ilvl="2" w:tplc="251AB49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32813"/>
    <w:multiLevelType w:val="hybridMultilevel"/>
    <w:tmpl w:val="0D3E646E"/>
    <w:lvl w:ilvl="0" w:tplc="518AAC42">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82686B"/>
    <w:multiLevelType w:val="hybridMultilevel"/>
    <w:tmpl w:val="48B6DBE4"/>
    <w:lvl w:ilvl="0" w:tplc="C58880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1A3E1F"/>
    <w:multiLevelType w:val="hybridMultilevel"/>
    <w:tmpl w:val="EA64BF06"/>
    <w:lvl w:ilvl="0" w:tplc="DDBC24B8">
      <w:start w:val="1"/>
      <w:numFmt w:val="upperRoman"/>
      <w:pStyle w:val="Heading1"/>
      <w:lvlText w:val="%1."/>
      <w:lvlJc w:val="right"/>
      <w:pPr>
        <w:ind w:left="23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C309FE"/>
    <w:multiLevelType w:val="hybridMultilevel"/>
    <w:tmpl w:val="224E8106"/>
    <w:lvl w:ilvl="0" w:tplc="9000E7CE">
      <w:start w:val="1"/>
      <w:numFmt w:val="decimal"/>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D14337"/>
    <w:multiLevelType w:val="hybridMultilevel"/>
    <w:tmpl w:val="109A2A56"/>
    <w:lvl w:ilvl="0" w:tplc="91BA0122">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6326B8A"/>
    <w:multiLevelType w:val="hybridMultilevel"/>
    <w:tmpl w:val="0A1051A6"/>
    <w:lvl w:ilvl="0" w:tplc="B03A2326">
      <w:start w:val="1"/>
      <w:numFmt w:val="upperRoman"/>
      <w:pStyle w:val="Footnot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037C9F"/>
    <w:multiLevelType w:val="multilevel"/>
    <w:tmpl w:val="76E0D3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565D82"/>
    <w:multiLevelType w:val="hybridMultilevel"/>
    <w:tmpl w:val="4EC2DD52"/>
    <w:lvl w:ilvl="0" w:tplc="39F02D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6F5047"/>
    <w:multiLevelType w:val="hybridMultilevel"/>
    <w:tmpl w:val="448860B2"/>
    <w:lvl w:ilvl="0" w:tplc="01461E86">
      <w:start w:val="1"/>
      <w:numFmt w:val="bullet"/>
      <w:pStyle w:val="Bullet"/>
      <w:lvlText w:val=""/>
      <w:lvlJc w:val="left"/>
      <w:pPr>
        <w:ind w:left="360" w:hanging="360"/>
      </w:pPr>
      <w:rPr>
        <w:rFonts w:ascii="Symbol" w:hAnsi="Symbol" w:hint="default"/>
      </w:rPr>
    </w:lvl>
    <w:lvl w:ilvl="1" w:tplc="5C8E4776">
      <w:start w:val="1"/>
      <w:numFmt w:val="lowerLetter"/>
      <w:lvlText w:val="%2."/>
      <w:lvlJc w:val="left"/>
      <w:pPr>
        <w:ind w:left="1080" w:hanging="360"/>
      </w:pPr>
      <w:rPr>
        <w:rFonts w:hint="default"/>
      </w:rPr>
    </w:lvl>
    <w:lvl w:ilvl="2" w:tplc="6A36F5C6">
      <w:start w:val="1"/>
      <w:numFmt w:val="decimal"/>
      <w:lvlText w:val="(%3)"/>
      <w:lvlJc w:val="left"/>
      <w:pPr>
        <w:ind w:left="2730" w:hanging="111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88550D1"/>
    <w:multiLevelType w:val="multilevel"/>
    <w:tmpl w:val="A14A41C0"/>
    <w:lvl w:ilvl="0">
      <w:start w:val="5"/>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4D364D93"/>
    <w:multiLevelType w:val="hybridMultilevel"/>
    <w:tmpl w:val="6EBEE5BE"/>
    <w:lvl w:ilvl="0" w:tplc="D7542F5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A470B3"/>
    <w:multiLevelType w:val="hybridMultilevel"/>
    <w:tmpl w:val="A468983C"/>
    <w:lvl w:ilvl="0" w:tplc="CEE272E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15"/>
  </w:num>
  <w:num w:numId="12">
    <w:abstractNumId w:val="12"/>
  </w:num>
  <w:num w:numId="13">
    <w:abstractNumId w:val="9"/>
  </w:num>
  <w:num w:numId="14">
    <w:abstractNumId w:val="9"/>
  </w:num>
  <w:num w:numId="15">
    <w:abstractNumId w:val="9"/>
  </w:num>
  <w:num w:numId="16">
    <w:abstractNumId w:val="12"/>
  </w:num>
  <w:num w:numId="17">
    <w:abstractNumId w:val="9"/>
  </w:num>
  <w:num w:numId="18">
    <w:abstractNumId w:val="9"/>
  </w:num>
  <w:num w:numId="19">
    <w:abstractNumId w:val="9"/>
  </w:num>
  <w:num w:numId="20">
    <w:abstractNumId w:val="12"/>
  </w:num>
  <w:num w:numId="21">
    <w:abstractNumId w:val="9"/>
  </w:num>
  <w:num w:numId="22">
    <w:abstractNumId w:val="9"/>
  </w:num>
  <w:num w:numId="23">
    <w:abstractNumId w:val="9"/>
  </w:num>
  <w:num w:numId="24">
    <w:abstractNumId w:val="12"/>
  </w:num>
  <w:num w:numId="25">
    <w:abstractNumId w:val="9"/>
  </w:num>
  <w:num w:numId="26">
    <w:abstractNumId w:val="9"/>
  </w:num>
  <w:num w:numId="27">
    <w:abstractNumId w:val="9"/>
  </w:num>
  <w:num w:numId="28">
    <w:abstractNumId w:val="12"/>
  </w:num>
  <w:num w:numId="29">
    <w:abstractNumId w:val="9"/>
  </w:num>
  <w:num w:numId="30">
    <w:abstractNumId w:val="14"/>
  </w:num>
  <w:num w:numId="31">
    <w:abstractNumId w:val="14"/>
  </w:num>
  <w:num w:numId="32">
    <w:abstractNumId w:val="14"/>
  </w:num>
  <w:num w:numId="33">
    <w:abstractNumId w:val="12"/>
  </w:num>
  <w:num w:numId="34">
    <w:abstractNumId w:val="0"/>
  </w:num>
  <w:num w:numId="35">
    <w:abstractNumId w:val="0"/>
  </w:num>
  <w:num w:numId="36">
    <w:abstractNumId w:val="12"/>
  </w:num>
  <w:num w:numId="37">
    <w:abstractNumId w:val="0"/>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5"/>
  </w:num>
  <w:num w:numId="41">
    <w:abstractNumId w:val="6"/>
  </w:num>
  <w:num w:numId="42">
    <w:abstractNumId w:val="6"/>
  </w:num>
  <w:num w:numId="43">
    <w:abstractNumId w:val="7"/>
  </w:num>
  <w:num w:numId="44">
    <w:abstractNumId w:val="6"/>
  </w:num>
  <w:num w:numId="45">
    <w:abstractNumId w:val="1"/>
  </w:num>
  <w:num w:numId="46">
    <w:abstractNumId w:val="2"/>
  </w:num>
  <w:num w:numId="47">
    <w:abstractNumId w:val="10"/>
  </w:num>
  <w:num w:numId="48">
    <w:abstractNumId w:val="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1D8"/>
    <w:rsid w:val="00003545"/>
    <w:rsid w:val="0002109F"/>
    <w:rsid w:val="00056A02"/>
    <w:rsid w:val="00091071"/>
    <w:rsid w:val="00097DD4"/>
    <w:rsid w:val="000C0077"/>
    <w:rsid w:val="000D0E94"/>
    <w:rsid w:val="000D409A"/>
    <w:rsid w:val="000E2C23"/>
    <w:rsid w:val="000F738F"/>
    <w:rsid w:val="0012215D"/>
    <w:rsid w:val="00124D37"/>
    <w:rsid w:val="0015663D"/>
    <w:rsid w:val="0016276D"/>
    <w:rsid w:val="00172BF5"/>
    <w:rsid w:val="001932D8"/>
    <w:rsid w:val="001A3F32"/>
    <w:rsid w:val="001B0433"/>
    <w:rsid w:val="001D0B0A"/>
    <w:rsid w:val="001D6254"/>
    <w:rsid w:val="001F41D8"/>
    <w:rsid w:val="002006F3"/>
    <w:rsid w:val="00204C88"/>
    <w:rsid w:val="00222515"/>
    <w:rsid w:val="00237452"/>
    <w:rsid w:val="0024453E"/>
    <w:rsid w:val="0025558F"/>
    <w:rsid w:val="00264644"/>
    <w:rsid w:val="002B0C9B"/>
    <w:rsid w:val="002D726A"/>
    <w:rsid w:val="002F0093"/>
    <w:rsid w:val="002F6C12"/>
    <w:rsid w:val="003108EE"/>
    <w:rsid w:val="00313A9A"/>
    <w:rsid w:val="0036095D"/>
    <w:rsid w:val="003A6462"/>
    <w:rsid w:val="003E7767"/>
    <w:rsid w:val="003F0422"/>
    <w:rsid w:val="003F4B40"/>
    <w:rsid w:val="004051A1"/>
    <w:rsid w:val="00424FE8"/>
    <w:rsid w:val="00431C64"/>
    <w:rsid w:val="00464183"/>
    <w:rsid w:val="004C5E56"/>
    <w:rsid w:val="004E152F"/>
    <w:rsid w:val="005073E6"/>
    <w:rsid w:val="00514343"/>
    <w:rsid w:val="0051508C"/>
    <w:rsid w:val="005157AC"/>
    <w:rsid w:val="005178D6"/>
    <w:rsid w:val="00537D5C"/>
    <w:rsid w:val="0055091F"/>
    <w:rsid w:val="00555D1A"/>
    <w:rsid w:val="00556B0A"/>
    <w:rsid w:val="0057031D"/>
    <w:rsid w:val="00570C3C"/>
    <w:rsid w:val="00571F07"/>
    <w:rsid w:val="005B13A2"/>
    <w:rsid w:val="005B4D26"/>
    <w:rsid w:val="005C4D87"/>
    <w:rsid w:val="005C53EF"/>
    <w:rsid w:val="005D06B1"/>
    <w:rsid w:val="005D34DD"/>
    <w:rsid w:val="005E0485"/>
    <w:rsid w:val="005E2409"/>
    <w:rsid w:val="005F6CEF"/>
    <w:rsid w:val="00613582"/>
    <w:rsid w:val="00623A44"/>
    <w:rsid w:val="00632E36"/>
    <w:rsid w:val="00644CA5"/>
    <w:rsid w:val="00653D93"/>
    <w:rsid w:val="00671DB5"/>
    <w:rsid w:val="006A479E"/>
    <w:rsid w:val="006B3E57"/>
    <w:rsid w:val="006D1158"/>
    <w:rsid w:val="006D2DD7"/>
    <w:rsid w:val="006F0DF8"/>
    <w:rsid w:val="007158F1"/>
    <w:rsid w:val="00721920"/>
    <w:rsid w:val="00727055"/>
    <w:rsid w:val="007322BB"/>
    <w:rsid w:val="007474B3"/>
    <w:rsid w:val="007515B7"/>
    <w:rsid w:val="00756AA9"/>
    <w:rsid w:val="00791ED1"/>
    <w:rsid w:val="0079737C"/>
    <w:rsid w:val="007A2CCF"/>
    <w:rsid w:val="007B2354"/>
    <w:rsid w:val="007C1128"/>
    <w:rsid w:val="007D5237"/>
    <w:rsid w:val="008303EB"/>
    <w:rsid w:val="00855E0E"/>
    <w:rsid w:val="008820FF"/>
    <w:rsid w:val="00882898"/>
    <w:rsid w:val="008868A8"/>
    <w:rsid w:val="008B060C"/>
    <w:rsid w:val="008B0BF5"/>
    <w:rsid w:val="008B2EF2"/>
    <w:rsid w:val="008B31E6"/>
    <w:rsid w:val="008D1085"/>
    <w:rsid w:val="00916AC2"/>
    <w:rsid w:val="00916DC9"/>
    <w:rsid w:val="00932191"/>
    <w:rsid w:val="00950776"/>
    <w:rsid w:val="00974001"/>
    <w:rsid w:val="00975538"/>
    <w:rsid w:val="00977F59"/>
    <w:rsid w:val="009802F3"/>
    <w:rsid w:val="0098504F"/>
    <w:rsid w:val="00992294"/>
    <w:rsid w:val="009A3184"/>
    <w:rsid w:val="009A77A7"/>
    <w:rsid w:val="009D75C0"/>
    <w:rsid w:val="00A075AD"/>
    <w:rsid w:val="00A16FEC"/>
    <w:rsid w:val="00A17B47"/>
    <w:rsid w:val="00A237F9"/>
    <w:rsid w:val="00A82FAD"/>
    <w:rsid w:val="00A8752B"/>
    <w:rsid w:val="00A914E5"/>
    <w:rsid w:val="00AA17D1"/>
    <w:rsid w:val="00AB0B1E"/>
    <w:rsid w:val="00AC0531"/>
    <w:rsid w:val="00AE5D5E"/>
    <w:rsid w:val="00AF604C"/>
    <w:rsid w:val="00B02C6D"/>
    <w:rsid w:val="00B30A45"/>
    <w:rsid w:val="00B32522"/>
    <w:rsid w:val="00B36567"/>
    <w:rsid w:val="00B55D2B"/>
    <w:rsid w:val="00B64FE7"/>
    <w:rsid w:val="00B67DE7"/>
    <w:rsid w:val="00B707C4"/>
    <w:rsid w:val="00B728D6"/>
    <w:rsid w:val="00B834D0"/>
    <w:rsid w:val="00B87F04"/>
    <w:rsid w:val="00B95C36"/>
    <w:rsid w:val="00BA03D7"/>
    <w:rsid w:val="00BC0236"/>
    <w:rsid w:val="00BD6CB9"/>
    <w:rsid w:val="00C10E52"/>
    <w:rsid w:val="00C16EA3"/>
    <w:rsid w:val="00C33529"/>
    <w:rsid w:val="00C42C11"/>
    <w:rsid w:val="00C67045"/>
    <w:rsid w:val="00CB15BE"/>
    <w:rsid w:val="00CB2AE0"/>
    <w:rsid w:val="00CD4CF3"/>
    <w:rsid w:val="00CD605C"/>
    <w:rsid w:val="00D128F6"/>
    <w:rsid w:val="00D46133"/>
    <w:rsid w:val="00D54B77"/>
    <w:rsid w:val="00D653E0"/>
    <w:rsid w:val="00D80A81"/>
    <w:rsid w:val="00DA3190"/>
    <w:rsid w:val="00DC04BA"/>
    <w:rsid w:val="00DC1F79"/>
    <w:rsid w:val="00DD299F"/>
    <w:rsid w:val="00DE5A41"/>
    <w:rsid w:val="00E36661"/>
    <w:rsid w:val="00E65E37"/>
    <w:rsid w:val="00EA3A6A"/>
    <w:rsid w:val="00EC4E1F"/>
    <w:rsid w:val="00EE557C"/>
    <w:rsid w:val="00F205B1"/>
    <w:rsid w:val="00F4716F"/>
    <w:rsid w:val="00F732C2"/>
    <w:rsid w:val="00F85139"/>
    <w:rsid w:val="00F91AB6"/>
    <w:rsid w:val="00F9482F"/>
    <w:rsid w:val="00FF5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oa heading"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AC2"/>
    <w:pPr>
      <w:spacing w:after="0" w:line="240" w:lineRule="auto"/>
    </w:pPr>
    <w:rPr>
      <w:rFonts w:cs="Times New Roman"/>
      <w:sz w:val="24"/>
      <w:szCs w:val="24"/>
    </w:rPr>
  </w:style>
  <w:style w:type="paragraph" w:styleId="Heading1">
    <w:name w:val="heading 1"/>
    <w:basedOn w:val="Title"/>
    <w:next w:val="Normal"/>
    <w:link w:val="Heading1Char"/>
    <w:autoRedefine/>
    <w:qFormat/>
    <w:rsid w:val="00F732C2"/>
    <w:pPr>
      <w:numPr>
        <w:numId w:val="42"/>
      </w:numPr>
      <w:pBdr>
        <w:bottom w:val="none" w:sz="0" w:space="0" w:color="auto"/>
      </w:pBdr>
      <w:spacing w:after="240"/>
      <w:ind w:left="0" w:right="0" w:firstLine="0"/>
      <w:outlineLvl w:val="0"/>
    </w:pPr>
    <w:rPr>
      <w:rFonts w:ascii="Times New Roman" w:eastAsia="Times New Roman" w:hAnsi="Times New Roman" w:cs="Times New Roman"/>
      <w:b/>
      <w:bCs/>
      <w:noProof w:val="0"/>
      <w:color w:val="auto"/>
      <w:spacing w:val="0"/>
      <w:sz w:val="28"/>
      <w:szCs w:val="32"/>
    </w:rPr>
  </w:style>
  <w:style w:type="paragraph" w:styleId="Heading2">
    <w:name w:val="heading 2"/>
    <w:basedOn w:val="Normal"/>
    <w:next w:val="Normal"/>
    <w:link w:val="Heading2Char"/>
    <w:autoRedefine/>
    <w:uiPriority w:val="9"/>
    <w:unhideWhenUsed/>
    <w:qFormat/>
    <w:rsid w:val="00F4716F"/>
    <w:pPr>
      <w:spacing w:before="240" w:after="240"/>
      <w:ind w:left="360" w:right="187" w:hanging="360"/>
      <w:outlineLvl w:val="1"/>
    </w:pPr>
    <w:rPr>
      <w:b/>
    </w:rPr>
  </w:style>
  <w:style w:type="paragraph" w:styleId="Heading3">
    <w:name w:val="heading 3"/>
    <w:basedOn w:val="Normal"/>
    <w:next w:val="Normal"/>
    <w:link w:val="Heading3Char"/>
    <w:autoRedefine/>
    <w:qFormat/>
    <w:rsid w:val="00AA17D1"/>
    <w:pPr>
      <w:keepNext/>
      <w:numPr>
        <w:numId w:val="43"/>
      </w:numPr>
      <w:spacing w:before="100" w:beforeAutospacing="1" w:after="100" w:afterAutospacing="1" w:line="360" w:lineRule="auto"/>
      <w:outlineLvl w:val="2"/>
    </w:pPr>
    <w:rPr>
      <w:rFonts w:eastAsia="Calibri"/>
      <w:b/>
      <w:noProof/>
      <w:sz w:val="28"/>
      <w:szCs w:val="28"/>
    </w:rPr>
  </w:style>
  <w:style w:type="paragraph" w:styleId="Heading4">
    <w:name w:val="heading 4"/>
    <w:basedOn w:val="Normal"/>
    <w:next w:val="Normal"/>
    <w:link w:val="Heading4Char"/>
    <w:uiPriority w:val="9"/>
    <w:unhideWhenUsed/>
    <w:qFormat/>
    <w:rsid w:val="00091071"/>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B707C4"/>
    <w:pPr>
      <w:ind w:left="720" w:right="720"/>
      <w:jc w:val="both"/>
    </w:pPr>
    <w:rPr>
      <w:rFonts w:asciiTheme="minorHAnsi" w:hAnsiTheme="minorHAnsi"/>
      <w:i/>
      <w:iCs/>
      <w:color w:val="000000" w:themeColor="text1"/>
    </w:rPr>
  </w:style>
  <w:style w:type="character" w:customStyle="1" w:styleId="QuoteChar">
    <w:name w:val="Quote Char"/>
    <w:basedOn w:val="DefaultParagraphFont"/>
    <w:link w:val="Quote"/>
    <w:uiPriority w:val="29"/>
    <w:rsid w:val="00B707C4"/>
    <w:rPr>
      <w:rFonts w:asciiTheme="minorHAnsi" w:eastAsiaTheme="minorHAnsi" w:hAnsiTheme="minorHAnsi"/>
      <w:i/>
      <w:iCs/>
      <w:color w:val="000000" w:themeColor="text1"/>
      <w:sz w:val="24"/>
    </w:rPr>
  </w:style>
  <w:style w:type="character" w:customStyle="1" w:styleId="Heading1Char">
    <w:name w:val="Heading 1 Char"/>
    <w:basedOn w:val="DefaultParagraphFont"/>
    <w:link w:val="Heading1"/>
    <w:rsid w:val="00F732C2"/>
    <w:rPr>
      <w:rFonts w:cs="Times New Roman"/>
      <w:b/>
      <w:bCs/>
      <w:kern w:val="28"/>
      <w:sz w:val="28"/>
      <w:szCs w:val="32"/>
    </w:rPr>
  </w:style>
  <w:style w:type="character" w:customStyle="1" w:styleId="Heading2Char">
    <w:name w:val="Heading 2 Char"/>
    <w:basedOn w:val="DefaultParagraphFont"/>
    <w:link w:val="Heading2"/>
    <w:uiPriority w:val="9"/>
    <w:rsid w:val="00F4716F"/>
    <w:rPr>
      <w:rFonts w:cs="Times New Roman"/>
      <w:b/>
      <w:sz w:val="24"/>
      <w:szCs w:val="24"/>
    </w:rPr>
  </w:style>
  <w:style w:type="paragraph" w:customStyle="1" w:styleId="NumPara1">
    <w:name w:val="Num Para 1"/>
    <w:basedOn w:val="ListParagraph"/>
    <w:link w:val="NumPara1Char"/>
    <w:autoRedefine/>
    <w:qFormat/>
    <w:rsid w:val="00DE5A41"/>
    <w:pPr>
      <w:numPr>
        <w:numId w:val="34"/>
      </w:numPr>
      <w:autoSpaceDE w:val="0"/>
      <w:autoSpaceDN w:val="0"/>
      <w:adjustRightInd w:val="0"/>
      <w:ind w:left="0" w:firstLine="0"/>
      <w:textboxTightWrap w:val="allLines"/>
    </w:pPr>
    <w:rPr>
      <w:color w:val="000000"/>
    </w:rPr>
  </w:style>
  <w:style w:type="character" w:customStyle="1" w:styleId="NumPara1Char">
    <w:name w:val="Num Para 1 Char"/>
    <w:basedOn w:val="DefaultParagraphFont"/>
    <w:link w:val="NumPara1"/>
    <w:rsid w:val="00DE5A41"/>
    <w:rPr>
      <w:color w:val="000000"/>
      <w:sz w:val="24"/>
      <w:szCs w:val="24"/>
    </w:rPr>
  </w:style>
  <w:style w:type="paragraph" w:styleId="ListParagraph">
    <w:name w:val="List Paragraph"/>
    <w:basedOn w:val="Normal"/>
    <w:link w:val="ListParagraphChar"/>
    <w:uiPriority w:val="34"/>
    <w:qFormat/>
    <w:rsid w:val="00091071"/>
    <w:pPr>
      <w:ind w:left="720"/>
    </w:pPr>
  </w:style>
  <w:style w:type="paragraph" w:customStyle="1" w:styleId="TOC">
    <w:name w:val="TOC"/>
    <w:basedOn w:val="TOCHeading"/>
    <w:link w:val="TOCChar"/>
    <w:autoRedefine/>
    <w:qFormat/>
    <w:rsid w:val="00091071"/>
    <w:pPr>
      <w:spacing w:before="120"/>
    </w:pPr>
    <w:rPr>
      <w:rFonts w:ascii="Times New Roman" w:hAnsi="Times New Roman"/>
      <w:b w:val="0"/>
      <w:lang w:eastAsia="ja-JP"/>
    </w:rPr>
  </w:style>
  <w:style w:type="character" w:customStyle="1" w:styleId="TOCChar">
    <w:name w:val="TOC Char"/>
    <w:basedOn w:val="DefaultParagraphFont"/>
    <w:link w:val="TOC"/>
    <w:rsid w:val="00091071"/>
    <w:rPr>
      <w:rFonts w:eastAsiaTheme="majorEastAsia" w:cstheme="majorBidi"/>
      <w:bCs/>
      <w:color w:val="2E74B5" w:themeColor="accent1" w:themeShade="BF"/>
      <w:sz w:val="24"/>
      <w:lang w:eastAsia="ja-JP"/>
    </w:rPr>
  </w:style>
  <w:style w:type="paragraph" w:styleId="TOCHeading">
    <w:name w:val="TOC Heading"/>
    <w:basedOn w:val="Heading1"/>
    <w:next w:val="Normal"/>
    <w:uiPriority w:val="39"/>
    <w:semiHidden/>
    <w:unhideWhenUsed/>
    <w:qFormat/>
    <w:rsid w:val="00091071"/>
    <w:pPr>
      <w:numPr>
        <w:numId w:val="0"/>
      </w:numPr>
      <w:spacing w:before="480" w:after="0"/>
      <w:outlineLvl w:val="9"/>
    </w:pPr>
    <w:rPr>
      <w:rFonts w:asciiTheme="majorHAnsi" w:hAnsiTheme="majorHAnsi"/>
      <w:color w:val="2E74B5" w:themeColor="accent1" w:themeShade="BF"/>
      <w:szCs w:val="28"/>
    </w:rPr>
  </w:style>
  <w:style w:type="paragraph" w:styleId="TOC1">
    <w:name w:val="toc 1"/>
    <w:basedOn w:val="Normal"/>
    <w:next w:val="Normal"/>
    <w:autoRedefine/>
    <w:uiPriority w:val="39"/>
    <w:unhideWhenUsed/>
    <w:rsid w:val="002B0C9B"/>
    <w:pPr>
      <w:tabs>
        <w:tab w:val="right" w:leader="dot" w:pos="9350"/>
      </w:tabs>
    </w:pPr>
  </w:style>
  <w:style w:type="paragraph" w:styleId="NoSpacing">
    <w:name w:val="No Spacing"/>
    <w:autoRedefine/>
    <w:uiPriority w:val="1"/>
    <w:qFormat/>
    <w:rsid w:val="00B95C36"/>
    <w:pPr>
      <w:spacing w:after="0" w:line="240" w:lineRule="auto"/>
    </w:pPr>
    <w:rPr>
      <w:rFonts w:eastAsiaTheme="minorHAnsi"/>
      <w:sz w:val="28"/>
    </w:rPr>
  </w:style>
  <w:style w:type="paragraph" w:customStyle="1" w:styleId="Bullet">
    <w:name w:val="Bullet"/>
    <w:basedOn w:val="NumPara1"/>
    <w:link w:val="BulletChar"/>
    <w:qFormat/>
    <w:rsid w:val="002F6C12"/>
    <w:pPr>
      <w:numPr>
        <w:numId w:val="28"/>
      </w:numPr>
    </w:pPr>
  </w:style>
  <w:style w:type="character" w:customStyle="1" w:styleId="BulletChar">
    <w:name w:val="Bullet Char"/>
    <w:basedOn w:val="NumPara1Char"/>
    <w:link w:val="Bullet"/>
    <w:rsid w:val="002F6C12"/>
    <w:rPr>
      <w:rFonts w:eastAsia="Times New Roman"/>
      <w:color w:val="000000"/>
      <w:sz w:val="24"/>
      <w:szCs w:val="24"/>
    </w:rPr>
  </w:style>
  <w:style w:type="character" w:customStyle="1" w:styleId="serif">
    <w:name w:val="serif"/>
    <w:basedOn w:val="DefaultParagraphFont"/>
    <w:rsid w:val="00B32522"/>
  </w:style>
  <w:style w:type="character" w:customStyle="1" w:styleId="Heading3Char">
    <w:name w:val="Heading 3 Char"/>
    <w:basedOn w:val="DefaultParagraphFont"/>
    <w:link w:val="Heading3"/>
    <w:rsid w:val="00AA17D1"/>
    <w:rPr>
      <w:rFonts w:ascii="Times New Roman" w:eastAsia="Calibri" w:hAnsi="Times New Roman" w:cs="Times New Roman"/>
      <w:b/>
      <w:noProof/>
      <w:sz w:val="28"/>
      <w:szCs w:val="28"/>
    </w:rPr>
  </w:style>
  <w:style w:type="character" w:customStyle="1" w:styleId="Heading4Char">
    <w:name w:val="Heading 4 Char"/>
    <w:basedOn w:val="DefaultParagraphFont"/>
    <w:link w:val="Heading4"/>
    <w:uiPriority w:val="9"/>
    <w:rsid w:val="00091071"/>
    <w:rPr>
      <w:rFonts w:asciiTheme="majorHAnsi" w:eastAsiaTheme="majorEastAsia" w:hAnsiTheme="majorHAnsi" w:cstheme="majorBidi"/>
      <w:b/>
      <w:bCs/>
      <w:i/>
      <w:iCs/>
      <w:color w:val="5B9BD5" w:themeColor="accent1"/>
    </w:rPr>
  </w:style>
  <w:style w:type="paragraph" w:styleId="FootnoteText">
    <w:name w:val="footnote text"/>
    <w:basedOn w:val="Normal"/>
    <w:link w:val="FootnoteTextChar"/>
    <w:autoRedefine/>
    <w:uiPriority w:val="99"/>
    <w:unhideWhenUsed/>
    <w:rsid w:val="002B0C9B"/>
  </w:style>
  <w:style w:type="character" w:customStyle="1" w:styleId="FootnoteTextChar">
    <w:name w:val="Footnote Text Char"/>
    <w:basedOn w:val="DefaultParagraphFont"/>
    <w:link w:val="FootnoteText"/>
    <w:uiPriority w:val="99"/>
    <w:rsid w:val="002B0C9B"/>
    <w:rPr>
      <w:rFonts w:ascii="Times New Roman" w:eastAsiaTheme="minorHAnsi" w:hAnsi="Times New Roman"/>
      <w:sz w:val="24"/>
      <w:szCs w:val="20"/>
    </w:rPr>
  </w:style>
  <w:style w:type="paragraph" w:styleId="Header">
    <w:name w:val="header"/>
    <w:basedOn w:val="Normal"/>
    <w:link w:val="HeaderChar"/>
    <w:uiPriority w:val="99"/>
    <w:unhideWhenUsed/>
    <w:rsid w:val="002B0C9B"/>
    <w:pPr>
      <w:tabs>
        <w:tab w:val="center" w:pos="4680"/>
        <w:tab w:val="right" w:pos="9360"/>
      </w:tabs>
    </w:pPr>
  </w:style>
  <w:style w:type="character" w:customStyle="1" w:styleId="HeaderChar">
    <w:name w:val="Header Char"/>
    <w:basedOn w:val="DefaultParagraphFont"/>
    <w:link w:val="Header"/>
    <w:uiPriority w:val="99"/>
    <w:rsid w:val="002B0C9B"/>
    <w:rPr>
      <w:rFonts w:ascii="Times New Roman" w:hAnsi="Times New Roman" w:cs="Times New Roman"/>
      <w:sz w:val="28"/>
      <w:szCs w:val="28"/>
    </w:rPr>
  </w:style>
  <w:style w:type="paragraph" w:styleId="Footer">
    <w:name w:val="footer"/>
    <w:basedOn w:val="Normal"/>
    <w:link w:val="FooterChar"/>
    <w:uiPriority w:val="99"/>
    <w:unhideWhenUsed/>
    <w:rsid w:val="002B0C9B"/>
    <w:pPr>
      <w:tabs>
        <w:tab w:val="center" w:pos="4680"/>
        <w:tab w:val="right" w:pos="9360"/>
      </w:tabs>
    </w:pPr>
  </w:style>
  <w:style w:type="character" w:customStyle="1" w:styleId="FooterChar">
    <w:name w:val="Footer Char"/>
    <w:basedOn w:val="DefaultParagraphFont"/>
    <w:link w:val="Footer"/>
    <w:uiPriority w:val="99"/>
    <w:rsid w:val="002B0C9B"/>
    <w:rPr>
      <w:rFonts w:ascii="Times New Roman" w:hAnsi="Times New Roman" w:cs="Times New Roman"/>
      <w:sz w:val="28"/>
      <w:szCs w:val="28"/>
    </w:rPr>
  </w:style>
  <w:style w:type="character" w:styleId="FootnoteReference">
    <w:name w:val="footnote reference"/>
    <w:basedOn w:val="DefaultParagraphFont"/>
    <w:uiPriority w:val="99"/>
    <w:semiHidden/>
    <w:unhideWhenUsed/>
    <w:rsid w:val="002B0C9B"/>
    <w:rPr>
      <w:rFonts w:ascii="Times New Roman" w:hAnsi="Times New Roman"/>
      <w:sz w:val="24"/>
      <w:vertAlign w:val="superscript"/>
    </w:rPr>
  </w:style>
  <w:style w:type="character" w:styleId="EndnoteReference">
    <w:name w:val="endnote reference"/>
    <w:basedOn w:val="DefaultParagraphFont"/>
    <w:uiPriority w:val="99"/>
    <w:semiHidden/>
    <w:unhideWhenUsed/>
    <w:rsid w:val="002B0C9B"/>
    <w:rPr>
      <w:vertAlign w:val="superscript"/>
    </w:rPr>
  </w:style>
  <w:style w:type="paragraph" w:styleId="EndnoteText">
    <w:name w:val="endnote text"/>
    <w:basedOn w:val="Normal"/>
    <w:link w:val="EndnoteTextChar"/>
    <w:uiPriority w:val="99"/>
    <w:semiHidden/>
    <w:unhideWhenUsed/>
    <w:rsid w:val="002B0C9B"/>
    <w:rPr>
      <w:sz w:val="20"/>
    </w:rPr>
  </w:style>
  <w:style w:type="character" w:customStyle="1" w:styleId="EndnoteTextChar">
    <w:name w:val="Endnote Text Char"/>
    <w:basedOn w:val="DefaultParagraphFont"/>
    <w:link w:val="EndnoteText"/>
    <w:uiPriority w:val="99"/>
    <w:semiHidden/>
    <w:rsid w:val="002B0C9B"/>
    <w:rPr>
      <w:rFonts w:ascii="Times New Roman" w:hAnsi="Times New Roman" w:cs="Times New Roman"/>
      <w:sz w:val="20"/>
      <w:szCs w:val="20"/>
    </w:rPr>
  </w:style>
  <w:style w:type="paragraph" w:styleId="Title">
    <w:name w:val="Title"/>
    <w:basedOn w:val="Normal"/>
    <w:next w:val="Normal"/>
    <w:link w:val="TitleChar"/>
    <w:autoRedefine/>
    <w:uiPriority w:val="10"/>
    <w:qFormat/>
    <w:rsid w:val="00537D5C"/>
    <w:pPr>
      <w:pBdr>
        <w:bottom w:val="single" w:sz="8" w:space="4" w:color="5B9BD5" w:themeColor="accent1"/>
      </w:pBdr>
      <w:spacing w:after="300"/>
      <w:ind w:right="720"/>
      <w:jc w:val="center"/>
    </w:pPr>
    <w:rPr>
      <w:rFonts w:asciiTheme="majorHAnsi" w:eastAsiaTheme="majorEastAsia" w:hAnsiTheme="majorHAnsi" w:cstheme="majorBidi"/>
      <w:noProof/>
      <w:color w:val="323E4F" w:themeColor="text2" w:themeShade="BF"/>
      <w:spacing w:val="5"/>
      <w:kern w:val="28"/>
      <w:sz w:val="52"/>
      <w:szCs w:val="52"/>
    </w:rPr>
  </w:style>
  <w:style w:type="character" w:customStyle="1" w:styleId="TitleChar">
    <w:name w:val="Title Char"/>
    <w:basedOn w:val="DefaultParagraphFont"/>
    <w:link w:val="Title"/>
    <w:uiPriority w:val="10"/>
    <w:rsid w:val="00537D5C"/>
    <w:rPr>
      <w:rFonts w:asciiTheme="majorHAnsi" w:eastAsiaTheme="majorEastAsia" w:hAnsiTheme="majorHAnsi" w:cstheme="majorBidi"/>
      <w:noProof/>
      <w:color w:val="323E4F" w:themeColor="text2" w:themeShade="BF"/>
      <w:spacing w:val="5"/>
      <w:kern w:val="28"/>
      <w:sz w:val="52"/>
      <w:szCs w:val="52"/>
    </w:rPr>
  </w:style>
  <w:style w:type="character" w:styleId="Hyperlink">
    <w:name w:val="Hyperlink"/>
    <w:basedOn w:val="DefaultParagraphFont"/>
    <w:uiPriority w:val="99"/>
    <w:unhideWhenUsed/>
    <w:rsid w:val="002B0C9B"/>
    <w:rPr>
      <w:color w:val="0000FF"/>
      <w:u w:val="single"/>
    </w:rPr>
  </w:style>
  <w:style w:type="table" w:styleId="TableGrid">
    <w:name w:val="Table Grid"/>
    <w:basedOn w:val="TableNormal"/>
    <w:uiPriority w:val="39"/>
    <w:rsid w:val="00B3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autoRedefine/>
    <w:uiPriority w:val="30"/>
    <w:qFormat/>
    <w:rsid w:val="00091071"/>
    <w:pPr>
      <w:pBdr>
        <w:bottom w:val="single" w:sz="4" w:space="4" w:color="5B9BD5" w:themeColor="accent1"/>
      </w:pBdr>
      <w:ind w:left="1008" w:right="1008"/>
      <w:textboxTightWrap w:val="allLines"/>
    </w:pPr>
    <w:rPr>
      <w:b/>
      <w:bCs/>
      <w:i/>
      <w:iCs/>
      <w:color w:val="767171" w:themeColor="background2" w:themeShade="80"/>
    </w:rPr>
  </w:style>
  <w:style w:type="character" w:customStyle="1" w:styleId="IntenseQuoteChar">
    <w:name w:val="Intense Quote Char"/>
    <w:basedOn w:val="DefaultParagraphFont"/>
    <w:link w:val="IntenseQuote"/>
    <w:uiPriority w:val="30"/>
    <w:rsid w:val="00091071"/>
    <w:rPr>
      <w:b/>
      <w:bCs/>
      <w:i/>
      <w:iCs/>
      <w:color w:val="767171" w:themeColor="background2" w:themeShade="80"/>
      <w:szCs w:val="22"/>
    </w:rPr>
  </w:style>
  <w:style w:type="character" w:customStyle="1" w:styleId="ListParagraphChar">
    <w:name w:val="List Paragraph Char"/>
    <w:basedOn w:val="DefaultParagraphFont"/>
    <w:link w:val="ListParagraph"/>
    <w:uiPriority w:val="34"/>
    <w:rsid w:val="00091071"/>
  </w:style>
  <w:style w:type="paragraph" w:customStyle="1" w:styleId="Footnote">
    <w:name w:val="Footnote"/>
    <w:basedOn w:val="FootnoteText"/>
    <w:link w:val="FootnoteChar"/>
    <w:autoRedefine/>
    <w:qFormat/>
    <w:rsid w:val="007322BB"/>
    <w:pPr>
      <w:numPr>
        <w:numId w:val="17"/>
      </w:numPr>
      <w:ind w:left="720" w:hanging="360"/>
    </w:pPr>
    <w:rPr>
      <w:rFonts w:asciiTheme="minorHAnsi" w:eastAsia="Calibri" w:hAnsiTheme="minorHAnsi"/>
      <w:sz w:val="20"/>
    </w:rPr>
  </w:style>
  <w:style w:type="character" w:customStyle="1" w:styleId="FootnoteChar">
    <w:name w:val="Footnote Char"/>
    <w:link w:val="Footnote"/>
    <w:rsid w:val="007322BB"/>
    <w:rPr>
      <w:rFonts w:eastAsia="Calibri"/>
      <w:szCs w:val="24"/>
    </w:rPr>
  </w:style>
  <w:style w:type="paragraph" w:styleId="TOAHeading">
    <w:name w:val="toa heading"/>
    <w:basedOn w:val="Normal"/>
    <w:next w:val="Normal"/>
    <w:autoRedefine/>
    <w:uiPriority w:val="99"/>
    <w:unhideWhenUsed/>
    <w:qFormat/>
    <w:rsid w:val="00091071"/>
    <w:pPr>
      <w:ind w:firstLine="360"/>
    </w:pPr>
    <w:rPr>
      <w:rFonts w:asciiTheme="majorHAnsi" w:eastAsiaTheme="majorEastAsia" w:hAnsiTheme="majorHAnsi" w:cstheme="majorBidi"/>
      <w:b/>
      <w:bCs/>
    </w:rPr>
  </w:style>
  <w:style w:type="character" w:customStyle="1" w:styleId="cite">
    <w:name w:val="cite"/>
    <w:basedOn w:val="DefaultParagraphFont"/>
    <w:rsid w:val="002B0C9B"/>
  </w:style>
  <w:style w:type="paragraph" w:customStyle="1" w:styleId="blockquote">
    <w:name w:val="blockquote"/>
    <w:basedOn w:val="Normal"/>
    <w:rsid w:val="002B0C9B"/>
    <w:pPr>
      <w:spacing w:before="100" w:beforeAutospacing="1" w:afterAutospacing="1"/>
    </w:pPr>
  </w:style>
  <w:style w:type="paragraph" w:customStyle="1" w:styleId="paragraph">
    <w:name w:val="paragraph"/>
    <w:basedOn w:val="Normal"/>
    <w:rsid w:val="002B0C9B"/>
    <w:pPr>
      <w:spacing w:before="100" w:beforeAutospacing="1" w:afterAutospacing="1"/>
    </w:pPr>
  </w:style>
  <w:style w:type="paragraph" w:styleId="TOC2">
    <w:name w:val="toc 2"/>
    <w:basedOn w:val="Normal"/>
    <w:next w:val="Normal"/>
    <w:autoRedefine/>
    <w:uiPriority w:val="39"/>
    <w:unhideWhenUsed/>
    <w:rsid w:val="002B0C9B"/>
    <w:pPr>
      <w:ind w:left="274"/>
    </w:pPr>
  </w:style>
  <w:style w:type="paragraph" w:styleId="TOC3">
    <w:name w:val="toc 3"/>
    <w:basedOn w:val="Normal"/>
    <w:next w:val="Normal"/>
    <w:autoRedefine/>
    <w:uiPriority w:val="39"/>
    <w:semiHidden/>
    <w:unhideWhenUsed/>
    <w:rsid w:val="002B0C9B"/>
    <w:pPr>
      <w:ind w:left="562"/>
    </w:pPr>
  </w:style>
  <w:style w:type="paragraph" w:styleId="TableofAuthorities">
    <w:name w:val="table of authorities"/>
    <w:basedOn w:val="Normal"/>
    <w:next w:val="Normal"/>
    <w:uiPriority w:val="99"/>
    <w:unhideWhenUsed/>
    <w:rsid w:val="002B0C9B"/>
    <w:pPr>
      <w:spacing w:before="240"/>
      <w:ind w:left="274" w:hanging="274"/>
    </w:pPr>
  </w:style>
  <w:style w:type="character" w:styleId="FollowedHyperlink">
    <w:name w:val="FollowedHyperlink"/>
    <w:basedOn w:val="DefaultParagraphFont"/>
    <w:uiPriority w:val="99"/>
    <w:semiHidden/>
    <w:unhideWhenUsed/>
    <w:rsid w:val="002B0C9B"/>
    <w:rPr>
      <w:color w:val="954F72" w:themeColor="followedHyperlink"/>
      <w:u w:val="single"/>
    </w:rPr>
  </w:style>
  <w:style w:type="paragraph" w:styleId="NormalWeb">
    <w:name w:val="Normal (Web)"/>
    <w:basedOn w:val="Normal"/>
    <w:autoRedefine/>
    <w:uiPriority w:val="99"/>
    <w:unhideWhenUsed/>
    <w:qFormat/>
    <w:rsid w:val="00570C3C"/>
    <w:pPr>
      <w:numPr>
        <w:numId w:val="46"/>
      </w:numPr>
      <w:spacing w:before="100" w:beforeAutospacing="1" w:after="100" w:afterAutospacing="1"/>
    </w:pPr>
    <w:rPr>
      <w:rFonts w:eastAsiaTheme="minorHAnsi"/>
    </w:rPr>
  </w:style>
  <w:style w:type="paragraph" w:styleId="NormalIndent">
    <w:name w:val="Normal Indent"/>
    <w:basedOn w:val="Normal"/>
    <w:uiPriority w:val="99"/>
    <w:unhideWhenUsed/>
    <w:qFormat/>
    <w:rsid w:val="004051A1"/>
    <w:pPr>
      <w:spacing w:before="120" w:after="240"/>
      <w:ind w:firstLine="720"/>
    </w:pPr>
  </w:style>
  <w:style w:type="character" w:styleId="Emphasis">
    <w:name w:val="Emphasis"/>
    <w:basedOn w:val="DefaultParagraphFont"/>
    <w:uiPriority w:val="20"/>
    <w:qFormat/>
    <w:rsid w:val="00A075AD"/>
    <w:rPr>
      <w:i/>
      <w:iCs/>
    </w:rPr>
  </w:style>
  <w:style w:type="character" w:styleId="Strong">
    <w:name w:val="Strong"/>
    <w:basedOn w:val="DefaultParagraphFont"/>
    <w:uiPriority w:val="22"/>
    <w:qFormat/>
    <w:rsid w:val="00A075AD"/>
    <w:rPr>
      <w:b/>
      <w:bCs/>
    </w:rPr>
  </w:style>
  <w:style w:type="character" w:customStyle="1" w:styleId="doc-citation-string">
    <w:name w:val="doc-citation-string"/>
    <w:basedOn w:val="DefaultParagraphFont"/>
    <w:rsid w:val="00056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oa heading"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AC2"/>
    <w:pPr>
      <w:spacing w:after="0" w:line="240" w:lineRule="auto"/>
    </w:pPr>
    <w:rPr>
      <w:rFonts w:cs="Times New Roman"/>
      <w:sz w:val="24"/>
      <w:szCs w:val="24"/>
    </w:rPr>
  </w:style>
  <w:style w:type="paragraph" w:styleId="Heading1">
    <w:name w:val="heading 1"/>
    <w:basedOn w:val="Title"/>
    <w:next w:val="Normal"/>
    <w:link w:val="Heading1Char"/>
    <w:autoRedefine/>
    <w:qFormat/>
    <w:rsid w:val="00F732C2"/>
    <w:pPr>
      <w:numPr>
        <w:numId w:val="42"/>
      </w:numPr>
      <w:pBdr>
        <w:bottom w:val="none" w:sz="0" w:space="0" w:color="auto"/>
      </w:pBdr>
      <w:spacing w:after="240"/>
      <w:ind w:left="0" w:right="0" w:firstLine="0"/>
      <w:outlineLvl w:val="0"/>
    </w:pPr>
    <w:rPr>
      <w:rFonts w:ascii="Times New Roman" w:eastAsia="Times New Roman" w:hAnsi="Times New Roman" w:cs="Times New Roman"/>
      <w:b/>
      <w:bCs/>
      <w:noProof w:val="0"/>
      <w:color w:val="auto"/>
      <w:spacing w:val="0"/>
      <w:sz w:val="28"/>
      <w:szCs w:val="32"/>
    </w:rPr>
  </w:style>
  <w:style w:type="paragraph" w:styleId="Heading2">
    <w:name w:val="heading 2"/>
    <w:basedOn w:val="Normal"/>
    <w:next w:val="Normal"/>
    <w:link w:val="Heading2Char"/>
    <w:autoRedefine/>
    <w:uiPriority w:val="9"/>
    <w:unhideWhenUsed/>
    <w:qFormat/>
    <w:rsid w:val="00F4716F"/>
    <w:pPr>
      <w:spacing w:before="240" w:after="240"/>
      <w:ind w:left="360" w:right="187" w:hanging="360"/>
      <w:outlineLvl w:val="1"/>
    </w:pPr>
    <w:rPr>
      <w:b/>
    </w:rPr>
  </w:style>
  <w:style w:type="paragraph" w:styleId="Heading3">
    <w:name w:val="heading 3"/>
    <w:basedOn w:val="Normal"/>
    <w:next w:val="Normal"/>
    <w:link w:val="Heading3Char"/>
    <w:autoRedefine/>
    <w:qFormat/>
    <w:rsid w:val="00AA17D1"/>
    <w:pPr>
      <w:keepNext/>
      <w:numPr>
        <w:numId w:val="43"/>
      </w:numPr>
      <w:spacing w:before="100" w:beforeAutospacing="1" w:after="100" w:afterAutospacing="1" w:line="360" w:lineRule="auto"/>
      <w:outlineLvl w:val="2"/>
    </w:pPr>
    <w:rPr>
      <w:rFonts w:eastAsia="Calibri"/>
      <w:b/>
      <w:noProof/>
      <w:sz w:val="28"/>
      <w:szCs w:val="28"/>
    </w:rPr>
  </w:style>
  <w:style w:type="paragraph" w:styleId="Heading4">
    <w:name w:val="heading 4"/>
    <w:basedOn w:val="Normal"/>
    <w:next w:val="Normal"/>
    <w:link w:val="Heading4Char"/>
    <w:uiPriority w:val="9"/>
    <w:unhideWhenUsed/>
    <w:qFormat/>
    <w:rsid w:val="00091071"/>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B707C4"/>
    <w:pPr>
      <w:ind w:left="720" w:right="720"/>
      <w:jc w:val="both"/>
    </w:pPr>
    <w:rPr>
      <w:rFonts w:asciiTheme="minorHAnsi" w:hAnsiTheme="minorHAnsi"/>
      <w:i/>
      <w:iCs/>
      <w:color w:val="000000" w:themeColor="text1"/>
    </w:rPr>
  </w:style>
  <w:style w:type="character" w:customStyle="1" w:styleId="QuoteChar">
    <w:name w:val="Quote Char"/>
    <w:basedOn w:val="DefaultParagraphFont"/>
    <w:link w:val="Quote"/>
    <w:uiPriority w:val="29"/>
    <w:rsid w:val="00B707C4"/>
    <w:rPr>
      <w:rFonts w:asciiTheme="minorHAnsi" w:eastAsiaTheme="minorHAnsi" w:hAnsiTheme="minorHAnsi"/>
      <w:i/>
      <w:iCs/>
      <w:color w:val="000000" w:themeColor="text1"/>
      <w:sz w:val="24"/>
    </w:rPr>
  </w:style>
  <w:style w:type="character" w:customStyle="1" w:styleId="Heading1Char">
    <w:name w:val="Heading 1 Char"/>
    <w:basedOn w:val="DefaultParagraphFont"/>
    <w:link w:val="Heading1"/>
    <w:rsid w:val="00F732C2"/>
    <w:rPr>
      <w:rFonts w:cs="Times New Roman"/>
      <w:b/>
      <w:bCs/>
      <w:kern w:val="28"/>
      <w:sz w:val="28"/>
      <w:szCs w:val="32"/>
    </w:rPr>
  </w:style>
  <w:style w:type="character" w:customStyle="1" w:styleId="Heading2Char">
    <w:name w:val="Heading 2 Char"/>
    <w:basedOn w:val="DefaultParagraphFont"/>
    <w:link w:val="Heading2"/>
    <w:uiPriority w:val="9"/>
    <w:rsid w:val="00F4716F"/>
    <w:rPr>
      <w:rFonts w:cs="Times New Roman"/>
      <w:b/>
      <w:sz w:val="24"/>
      <w:szCs w:val="24"/>
    </w:rPr>
  </w:style>
  <w:style w:type="paragraph" w:customStyle="1" w:styleId="NumPara1">
    <w:name w:val="Num Para 1"/>
    <w:basedOn w:val="ListParagraph"/>
    <w:link w:val="NumPara1Char"/>
    <w:autoRedefine/>
    <w:qFormat/>
    <w:rsid w:val="00DE5A41"/>
    <w:pPr>
      <w:numPr>
        <w:numId w:val="34"/>
      </w:numPr>
      <w:autoSpaceDE w:val="0"/>
      <w:autoSpaceDN w:val="0"/>
      <w:adjustRightInd w:val="0"/>
      <w:ind w:left="0" w:firstLine="0"/>
      <w:textboxTightWrap w:val="allLines"/>
    </w:pPr>
    <w:rPr>
      <w:color w:val="000000"/>
    </w:rPr>
  </w:style>
  <w:style w:type="character" w:customStyle="1" w:styleId="NumPara1Char">
    <w:name w:val="Num Para 1 Char"/>
    <w:basedOn w:val="DefaultParagraphFont"/>
    <w:link w:val="NumPara1"/>
    <w:rsid w:val="00DE5A41"/>
    <w:rPr>
      <w:color w:val="000000"/>
      <w:sz w:val="24"/>
      <w:szCs w:val="24"/>
    </w:rPr>
  </w:style>
  <w:style w:type="paragraph" w:styleId="ListParagraph">
    <w:name w:val="List Paragraph"/>
    <w:basedOn w:val="Normal"/>
    <w:link w:val="ListParagraphChar"/>
    <w:uiPriority w:val="34"/>
    <w:qFormat/>
    <w:rsid w:val="00091071"/>
    <w:pPr>
      <w:ind w:left="720"/>
    </w:pPr>
  </w:style>
  <w:style w:type="paragraph" w:customStyle="1" w:styleId="TOC">
    <w:name w:val="TOC"/>
    <w:basedOn w:val="TOCHeading"/>
    <w:link w:val="TOCChar"/>
    <w:autoRedefine/>
    <w:qFormat/>
    <w:rsid w:val="00091071"/>
    <w:pPr>
      <w:spacing w:before="120"/>
    </w:pPr>
    <w:rPr>
      <w:rFonts w:ascii="Times New Roman" w:hAnsi="Times New Roman"/>
      <w:b w:val="0"/>
      <w:lang w:eastAsia="ja-JP"/>
    </w:rPr>
  </w:style>
  <w:style w:type="character" w:customStyle="1" w:styleId="TOCChar">
    <w:name w:val="TOC Char"/>
    <w:basedOn w:val="DefaultParagraphFont"/>
    <w:link w:val="TOC"/>
    <w:rsid w:val="00091071"/>
    <w:rPr>
      <w:rFonts w:eastAsiaTheme="majorEastAsia" w:cstheme="majorBidi"/>
      <w:bCs/>
      <w:color w:val="2E74B5" w:themeColor="accent1" w:themeShade="BF"/>
      <w:sz w:val="24"/>
      <w:lang w:eastAsia="ja-JP"/>
    </w:rPr>
  </w:style>
  <w:style w:type="paragraph" w:styleId="TOCHeading">
    <w:name w:val="TOC Heading"/>
    <w:basedOn w:val="Heading1"/>
    <w:next w:val="Normal"/>
    <w:uiPriority w:val="39"/>
    <w:semiHidden/>
    <w:unhideWhenUsed/>
    <w:qFormat/>
    <w:rsid w:val="00091071"/>
    <w:pPr>
      <w:numPr>
        <w:numId w:val="0"/>
      </w:numPr>
      <w:spacing w:before="480" w:after="0"/>
      <w:outlineLvl w:val="9"/>
    </w:pPr>
    <w:rPr>
      <w:rFonts w:asciiTheme="majorHAnsi" w:hAnsiTheme="majorHAnsi"/>
      <w:color w:val="2E74B5" w:themeColor="accent1" w:themeShade="BF"/>
      <w:szCs w:val="28"/>
    </w:rPr>
  </w:style>
  <w:style w:type="paragraph" w:styleId="TOC1">
    <w:name w:val="toc 1"/>
    <w:basedOn w:val="Normal"/>
    <w:next w:val="Normal"/>
    <w:autoRedefine/>
    <w:uiPriority w:val="39"/>
    <w:unhideWhenUsed/>
    <w:rsid w:val="002B0C9B"/>
    <w:pPr>
      <w:tabs>
        <w:tab w:val="right" w:leader="dot" w:pos="9350"/>
      </w:tabs>
    </w:pPr>
  </w:style>
  <w:style w:type="paragraph" w:styleId="NoSpacing">
    <w:name w:val="No Spacing"/>
    <w:autoRedefine/>
    <w:uiPriority w:val="1"/>
    <w:qFormat/>
    <w:rsid w:val="00B95C36"/>
    <w:pPr>
      <w:spacing w:after="0" w:line="240" w:lineRule="auto"/>
    </w:pPr>
    <w:rPr>
      <w:rFonts w:eastAsiaTheme="minorHAnsi"/>
      <w:sz w:val="28"/>
    </w:rPr>
  </w:style>
  <w:style w:type="paragraph" w:customStyle="1" w:styleId="Bullet">
    <w:name w:val="Bullet"/>
    <w:basedOn w:val="NumPara1"/>
    <w:link w:val="BulletChar"/>
    <w:qFormat/>
    <w:rsid w:val="002F6C12"/>
    <w:pPr>
      <w:numPr>
        <w:numId w:val="28"/>
      </w:numPr>
    </w:pPr>
  </w:style>
  <w:style w:type="character" w:customStyle="1" w:styleId="BulletChar">
    <w:name w:val="Bullet Char"/>
    <w:basedOn w:val="NumPara1Char"/>
    <w:link w:val="Bullet"/>
    <w:rsid w:val="002F6C12"/>
    <w:rPr>
      <w:rFonts w:eastAsia="Times New Roman"/>
      <w:color w:val="000000"/>
      <w:sz w:val="24"/>
      <w:szCs w:val="24"/>
    </w:rPr>
  </w:style>
  <w:style w:type="character" w:customStyle="1" w:styleId="serif">
    <w:name w:val="serif"/>
    <w:basedOn w:val="DefaultParagraphFont"/>
    <w:rsid w:val="00B32522"/>
  </w:style>
  <w:style w:type="character" w:customStyle="1" w:styleId="Heading3Char">
    <w:name w:val="Heading 3 Char"/>
    <w:basedOn w:val="DefaultParagraphFont"/>
    <w:link w:val="Heading3"/>
    <w:rsid w:val="00AA17D1"/>
    <w:rPr>
      <w:rFonts w:ascii="Times New Roman" w:eastAsia="Calibri" w:hAnsi="Times New Roman" w:cs="Times New Roman"/>
      <w:b/>
      <w:noProof/>
      <w:sz w:val="28"/>
      <w:szCs w:val="28"/>
    </w:rPr>
  </w:style>
  <w:style w:type="character" w:customStyle="1" w:styleId="Heading4Char">
    <w:name w:val="Heading 4 Char"/>
    <w:basedOn w:val="DefaultParagraphFont"/>
    <w:link w:val="Heading4"/>
    <w:uiPriority w:val="9"/>
    <w:rsid w:val="00091071"/>
    <w:rPr>
      <w:rFonts w:asciiTheme="majorHAnsi" w:eastAsiaTheme="majorEastAsia" w:hAnsiTheme="majorHAnsi" w:cstheme="majorBidi"/>
      <w:b/>
      <w:bCs/>
      <w:i/>
      <w:iCs/>
      <w:color w:val="5B9BD5" w:themeColor="accent1"/>
    </w:rPr>
  </w:style>
  <w:style w:type="paragraph" w:styleId="FootnoteText">
    <w:name w:val="footnote text"/>
    <w:basedOn w:val="Normal"/>
    <w:link w:val="FootnoteTextChar"/>
    <w:autoRedefine/>
    <w:uiPriority w:val="99"/>
    <w:unhideWhenUsed/>
    <w:rsid w:val="002B0C9B"/>
  </w:style>
  <w:style w:type="character" w:customStyle="1" w:styleId="FootnoteTextChar">
    <w:name w:val="Footnote Text Char"/>
    <w:basedOn w:val="DefaultParagraphFont"/>
    <w:link w:val="FootnoteText"/>
    <w:uiPriority w:val="99"/>
    <w:rsid w:val="002B0C9B"/>
    <w:rPr>
      <w:rFonts w:ascii="Times New Roman" w:eastAsiaTheme="minorHAnsi" w:hAnsi="Times New Roman"/>
      <w:sz w:val="24"/>
      <w:szCs w:val="20"/>
    </w:rPr>
  </w:style>
  <w:style w:type="paragraph" w:styleId="Header">
    <w:name w:val="header"/>
    <w:basedOn w:val="Normal"/>
    <w:link w:val="HeaderChar"/>
    <w:uiPriority w:val="99"/>
    <w:unhideWhenUsed/>
    <w:rsid w:val="002B0C9B"/>
    <w:pPr>
      <w:tabs>
        <w:tab w:val="center" w:pos="4680"/>
        <w:tab w:val="right" w:pos="9360"/>
      </w:tabs>
    </w:pPr>
  </w:style>
  <w:style w:type="character" w:customStyle="1" w:styleId="HeaderChar">
    <w:name w:val="Header Char"/>
    <w:basedOn w:val="DefaultParagraphFont"/>
    <w:link w:val="Header"/>
    <w:uiPriority w:val="99"/>
    <w:rsid w:val="002B0C9B"/>
    <w:rPr>
      <w:rFonts w:ascii="Times New Roman" w:hAnsi="Times New Roman" w:cs="Times New Roman"/>
      <w:sz w:val="28"/>
      <w:szCs w:val="28"/>
    </w:rPr>
  </w:style>
  <w:style w:type="paragraph" w:styleId="Footer">
    <w:name w:val="footer"/>
    <w:basedOn w:val="Normal"/>
    <w:link w:val="FooterChar"/>
    <w:uiPriority w:val="99"/>
    <w:unhideWhenUsed/>
    <w:rsid w:val="002B0C9B"/>
    <w:pPr>
      <w:tabs>
        <w:tab w:val="center" w:pos="4680"/>
        <w:tab w:val="right" w:pos="9360"/>
      </w:tabs>
    </w:pPr>
  </w:style>
  <w:style w:type="character" w:customStyle="1" w:styleId="FooterChar">
    <w:name w:val="Footer Char"/>
    <w:basedOn w:val="DefaultParagraphFont"/>
    <w:link w:val="Footer"/>
    <w:uiPriority w:val="99"/>
    <w:rsid w:val="002B0C9B"/>
    <w:rPr>
      <w:rFonts w:ascii="Times New Roman" w:hAnsi="Times New Roman" w:cs="Times New Roman"/>
      <w:sz w:val="28"/>
      <w:szCs w:val="28"/>
    </w:rPr>
  </w:style>
  <w:style w:type="character" w:styleId="FootnoteReference">
    <w:name w:val="footnote reference"/>
    <w:basedOn w:val="DefaultParagraphFont"/>
    <w:uiPriority w:val="99"/>
    <w:semiHidden/>
    <w:unhideWhenUsed/>
    <w:rsid w:val="002B0C9B"/>
    <w:rPr>
      <w:rFonts w:ascii="Times New Roman" w:hAnsi="Times New Roman"/>
      <w:sz w:val="24"/>
      <w:vertAlign w:val="superscript"/>
    </w:rPr>
  </w:style>
  <w:style w:type="character" w:styleId="EndnoteReference">
    <w:name w:val="endnote reference"/>
    <w:basedOn w:val="DefaultParagraphFont"/>
    <w:uiPriority w:val="99"/>
    <w:semiHidden/>
    <w:unhideWhenUsed/>
    <w:rsid w:val="002B0C9B"/>
    <w:rPr>
      <w:vertAlign w:val="superscript"/>
    </w:rPr>
  </w:style>
  <w:style w:type="paragraph" w:styleId="EndnoteText">
    <w:name w:val="endnote text"/>
    <w:basedOn w:val="Normal"/>
    <w:link w:val="EndnoteTextChar"/>
    <w:uiPriority w:val="99"/>
    <w:semiHidden/>
    <w:unhideWhenUsed/>
    <w:rsid w:val="002B0C9B"/>
    <w:rPr>
      <w:sz w:val="20"/>
    </w:rPr>
  </w:style>
  <w:style w:type="character" w:customStyle="1" w:styleId="EndnoteTextChar">
    <w:name w:val="Endnote Text Char"/>
    <w:basedOn w:val="DefaultParagraphFont"/>
    <w:link w:val="EndnoteText"/>
    <w:uiPriority w:val="99"/>
    <w:semiHidden/>
    <w:rsid w:val="002B0C9B"/>
    <w:rPr>
      <w:rFonts w:ascii="Times New Roman" w:hAnsi="Times New Roman" w:cs="Times New Roman"/>
      <w:sz w:val="20"/>
      <w:szCs w:val="20"/>
    </w:rPr>
  </w:style>
  <w:style w:type="paragraph" w:styleId="Title">
    <w:name w:val="Title"/>
    <w:basedOn w:val="Normal"/>
    <w:next w:val="Normal"/>
    <w:link w:val="TitleChar"/>
    <w:autoRedefine/>
    <w:uiPriority w:val="10"/>
    <w:qFormat/>
    <w:rsid w:val="00537D5C"/>
    <w:pPr>
      <w:pBdr>
        <w:bottom w:val="single" w:sz="8" w:space="4" w:color="5B9BD5" w:themeColor="accent1"/>
      </w:pBdr>
      <w:spacing w:after="300"/>
      <w:ind w:right="720"/>
      <w:jc w:val="center"/>
    </w:pPr>
    <w:rPr>
      <w:rFonts w:asciiTheme="majorHAnsi" w:eastAsiaTheme="majorEastAsia" w:hAnsiTheme="majorHAnsi" w:cstheme="majorBidi"/>
      <w:noProof/>
      <w:color w:val="323E4F" w:themeColor="text2" w:themeShade="BF"/>
      <w:spacing w:val="5"/>
      <w:kern w:val="28"/>
      <w:sz w:val="52"/>
      <w:szCs w:val="52"/>
    </w:rPr>
  </w:style>
  <w:style w:type="character" w:customStyle="1" w:styleId="TitleChar">
    <w:name w:val="Title Char"/>
    <w:basedOn w:val="DefaultParagraphFont"/>
    <w:link w:val="Title"/>
    <w:uiPriority w:val="10"/>
    <w:rsid w:val="00537D5C"/>
    <w:rPr>
      <w:rFonts w:asciiTheme="majorHAnsi" w:eastAsiaTheme="majorEastAsia" w:hAnsiTheme="majorHAnsi" w:cstheme="majorBidi"/>
      <w:noProof/>
      <w:color w:val="323E4F" w:themeColor="text2" w:themeShade="BF"/>
      <w:spacing w:val="5"/>
      <w:kern w:val="28"/>
      <w:sz w:val="52"/>
      <w:szCs w:val="52"/>
    </w:rPr>
  </w:style>
  <w:style w:type="character" w:styleId="Hyperlink">
    <w:name w:val="Hyperlink"/>
    <w:basedOn w:val="DefaultParagraphFont"/>
    <w:uiPriority w:val="99"/>
    <w:unhideWhenUsed/>
    <w:rsid w:val="002B0C9B"/>
    <w:rPr>
      <w:color w:val="0000FF"/>
      <w:u w:val="single"/>
    </w:rPr>
  </w:style>
  <w:style w:type="table" w:styleId="TableGrid">
    <w:name w:val="Table Grid"/>
    <w:basedOn w:val="TableNormal"/>
    <w:uiPriority w:val="39"/>
    <w:rsid w:val="00B3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autoRedefine/>
    <w:uiPriority w:val="30"/>
    <w:qFormat/>
    <w:rsid w:val="00091071"/>
    <w:pPr>
      <w:pBdr>
        <w:bottom w:val="single" w:sz="4" w:space="4" w:color="5B9BD5" w:themeColor="accent1"/>
      </w:pBdr>
      <w:ind w:left="1008" w:right="1008"/>
      <w:textboxTightWrap w:val="allLines"/>
    </w:pPr>
    <w:rPr>
      <w:b/>
      <w:bCs/>
      <w:i/>
      <w:iCs/>
      <w:color w:val="767171" w:themeColor="background2" w:themeShade="80"/>
    </w:rPr>
  </w:style>
  <w:style w:type="character" w:customStyle="1" w:styleId="IntenseQuoteChar">
    <w:name w:val="Intense Quote Char"/>
    <w:basedOn w:val="DefaultParagraphFont"/>
    <w:link w:val="IntenseQuote"/>
    <w:uiPriority w:val="30"/>
    <w:rsid w:val="00091071"/>
    <w:rPr>
      <w:b/>
      <w:bCs/>
      <w:i/>
      <w:iCs/>
      <w:color w:val="767171" w:themeColor="background2" w:themeShade="80"/>
      <w:szCs w:val="22"/>
    </w:rPr>
  </w:style>
  <w:style w:type="character" w:customStyle="1" w:styleId="ListParagraphChar">
    <w:name w:val="List Paragraph Char"/>
    <w:basedOn w:val="DefaultParagraphFont"/>
    <w:link w:val="ListParagraph"/>
    <w:uiPriority w:val="34"/>
    <w:rsid w:val="00091071"/>
  </w:style>
  <w:style w:type="paragraph" w:customStyle="1" w:styleId="Footnote">
    <w:name w:val="Footnote"/>
    <w:basedOn w:val="FootnoteText"/>
    <w:link w:val="FootnoteChar"/>
    <w:autoRedefine/>
    <w:qFormat/>
    <w:rsid w:val="007322BB"/>
    <w:pPr>
      <w:numPr>
        <w:numId w:val="17"/>
      </w:numPr>
      <w:ind w:left="720" w:hanging="360"/>
    </w:pPr>
    <w:rPr>
      <w:rFonts w:asciiTheme="minorHAnsi" w:eastAsia="Calibri" w:hAnsiTheme="minorHAnsi"/>
      <w:sz w:val="20"/>
    </w:rPr>
  </w:style>
  <w:style w:type="character" w:customStyle="1" w:styleId="FootnoteChar">
    <w:name w:val="Footnote Char"/>
    <w:link w:val="Footnote"/>
    <w:rsid w:val="007322BB"/>
    <w:rPr>
      <w:rFonts w:eastAsia="Calibri"/>
      <w:szCs w:val="24"/>
    </w:rPr>
  </w:style>
  <w:style w:type="paragraph" w:styleId="TOAHeading">
    <w:name w:val="toa heading"/>
    <w:basedOn w:val="Normal"/>
    <w:next w:val="Normal"/>
    <w:autoRedefine/>
    <w:uiPriority w:val="99"/>
    <w:unhideWhenUsed/>
    <w:qFormat/>
    <w:rsid w:val="00091071"/>
    <w:pPr>
      <w:ind w:firstLine="360"/>
    </w:pPr>
    <w:rPr>
      <w:rFonts w:asciiTheme="majorHAnsi" w:eastAsiaTheme="majorEastAsia" w:hAnsiTheme="majorHAnsi" w:cstheme="majorBidi"/>
      <w:b/>
      <w:bCs/>
    </w:rPr>
  </w:style>
  <w:style w:type="character" w:customStyle="1" w:styleId="cite">
    <w:name w:val="cite"/>
    <w:basedOn w:val="DefaultParagraphFont"/>
    <w:rsid w:val="002B0C9B"/>
  </w:style>
  <w:style w:type="paragraph" w:customStyle="1" w:styleId="blockquote">
    <w:name w:val="blockquote"/>
    <w:basedOn w:val="Normal"/>
    <w:rsid w:val="002B0C9B"/>
    <w:pPr>
      <w:spacing w:before="100" w:beforeAutospacing="1" w:afterAutospacing="1"/>
    </w:pPr>
  </w:style>
  <w:style w:type="paragraph" w:customStyle="1" w:styleId="paragraph">
    <w:name w:val="paragraph"/>
    <w:basedOn w:val="Normal"/>
    <w:rsid w:val="002B0C9B"/>
    <w:pPr>
      <w:spacing w:before="100" w:beforeAutospacing="1" w:afterAutospacing="1"/>
    </w:pPr>
  </w:style>
  <w:style w:type="paragraph" w:styleId="TOC2">
    <w:name w:val="toc 2"/>
    <w:basedOn w:val="Normal"/>
    <w:next w:val="Normal"/>
    <w:autoRedefine/>
    <w:uiPriority w:val="39"/>
    <w:unhideWhenUsed/>
    <w:rsid w:val="002B0C9B"/>
    <w:pPr>
      <w:ind w:left="274"/>
    </w:pPr>
  </w:style>
  <w:style w:type="paragraph" w:styleId="TOC3">
    <w:name w:val="toc 3"/>
    <w:basedOn w:val="Normal"/>
    <w:next w:val="Normal"/>
    <w:autoRedefine/>
    <w:uiPriority w:val="39"/>
    <w:semiHidden/>
    <w:unhideWhenUsed/>
    <w:rsid w:val="002B0C9B"/>
    <w:pPr>
      <w:ind w:left="562"/>
    </w:pPr>
  </w:style>
  <w:style w:type="paragraph" w:styleId="TableofAuthorities">
    <w:name w:val="table of authorities"/>
    <w:basedOn w:val="Normal"/>
    <w:next w:val="Normal"/>
    <w:uiPriority w:val="99"/>
    <w:unhideWhenUsed/>
    <w:rsid w:val="002B0C9B"/>
    <w:pPr>
      <w:spacing w:before="240"/>
      <w:ind w:left="274" w:hanging="274"/>
    </w:pPr>
  </w:style>
  <w:style w:type="character" w:styleId="FollowedHyperlink">
    <w:name w:val="FollowedHyperlink"/>
    <w:basedOn w:val="DefaultParagraphFont"/>
    <w:uiPriority w:val="99"/>
    <w:semiHidden/>
    <w:unhideWhenUsed/>
    <w:rsid w:val="002B0C9B"/>
    <w:rPr>
      <w:color w:val="954F72" w:themeColor="followedHyperlink"/>
      <w:u w:val="single"/>
    </w:rPr>
  </w:style>
  <w:style w:type="paragraph" w:styleId="NormalWeb">
    <w:name w:val="Normal (Web)"/>
    <w:basedOn w:val="Normal"/>
    <w:autoRedefine/>
    <w:uiPriority w:val="99"/>
    <w:unhideWhenUsed/>
    <w:qFormat/>
    <w:rsid w:val="00570C3C"/>
    <w:pPr>
      <w:numPr>
        <w:numId w:val="46"/>
      </w:numPr>
      <w:spacing w:before="100" w:beforeAutospacing="1" w:after="100" w:afterAutospacing="1"/>
    </w:pPr>
    <w:rPr>
      <w:rFonts w:eastAsiaTheme="minorHAnsi"/>
    </w:rPr>
  </w:style>
  <w:style w:type="paragraph" w:styleId="NormalIndent">
    <w:name w:val="Normal Indent"/>
    <w:basedOn w:val="Normal"/>
    <w:uiPriority w:val="99"/>
    <w:unhideWhenUsed/>
    <w:qFormat/>
    <w:rsid w:val="004051A1"/>
    <w:pPr>
      <w:spacing w:before="120" w:after="240"/>
      <w:ind w:firstLine="720"/>
    </w:pPr>
  </w:style>
  <w:style w:type="character" w:styleId="Emphasis">
    <w:name w:val="Emphasis"/>
    <w:basedOn w:val="DefaultParagraphFont"/>
    <w:uiPriority w:val="20"/>
    <w:qFormat/>
    <w:rsid w:val="00A075AD"/>
    <w:rPr>
      <w:i/>
      <w:iCs/>
    </w:rPr>
  </w:style>
  <w:style w:type="character" w:styleId="Strong">
    <w:name w:val="Strong"/>
    <w:basedOn w:val="DefaultParagraphFont"/>
    <w:uiPriority w:val="22"/>
    <w:qFormat/>
    <w:rsid w:val="00A075AD"/>
    <w:rPr>
      <w:b/>
      <w:bCs/>
    </w:rPr>
  </w:style>
  <w:style w:type="character" w:customStyle="1" w:styleId="doc-citation-string">
    <w:name w:val="doc-citation-string"/>
    <w:basedOn w:val="DefaultParagraphFont"/>
    <w:rsid w:val="00056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65953">
      <w:bodyDiv w:val="1"/>
      <w:marLeft w:val="0"/>
      <w:marRight w:val="0"/>
      <w:marTop w:val="0"/>
      <w:marBottom w:val="0"/>
      <w:divBdr>
        <w:top w:val="none" w:sz="0" w:space="0" w:color="auto"/>
        <w:left w:val="none" w:sz="0" w:space="0" w:color="auto"/>
        <w:bottom w:val="none" w:sz="0" w:space="0" w:color="auto"/>
        <w:right w:val="none" w:sz="0" w:space="0" w:color="auto"/>
      </w:divBdr>
      <w:divsChild>
        <w:div w:id="2078479288">
          <w:marLeft w:val="0"/>
          <w:marRight w:val="0"/>
          <w:marTop w:val="0"/>
          <w:marBottom w:val="0"/>
          <w:divBdr>
            <w:top w:val="none" w:sz="0" w:space="0" w:color="auto"/>
            <w:left w:val="none" w:sz="0" w:space="0" w:color="auto"/>
            <w:bottom w:val="none" w:sz="0" w:space="0" w:color="auto"/>
            <w:right w:val="none" w:sz="0" w:space="0" w:color="auto"/>
          </w:divBdr>
          <w:divsChild>
            <w:div w:id="521939256">
              <w:marLeft w:val="0"/>
              <w:marRight w:val="0"/>
              <w:marTop w:val="0"/>
              <w:marBottom w:val="0"/>
              <w:divBdr>
                <w:top w:val="none" w:sz="0" w:space="0" w:color="auto"/>
                <w:left w:val="none" w:sz="0" w:space="0" w:color="auto"/>
                <w:bottom w:val="none" w:sz="0" w:space="0" w:color="auto"/>
                <w:right w:val="none" w:sz="0" w:space="0" w:color="auto"/>
              </w:divBdr>
            </w:div>
            <w:div w:id="162006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032730">
      <w:bodyDiv w:val="1"/>
      <w:marLeft w:val="0"/>
      <w:marRight w:val="0"/>
      <w:marTop w:val="0"/>
      <w:marBottom w:val="0"/>
      <w:divBdr>
        <w:top w:val="none" w:sz="0" w:space="0" w:color="auto"/>
        <w:left w:val="none" w:sz="0" w:space="0" w:color="auto"/>
        <w:bottom w:val="none" w:sz="0" w:space="0" w:color="auto"/>
        <w:right w:val="none" w:sz="0" w:space="0" w:color="auto"/>
      </w:divBdr>
    </w:div>
    <w:div w:id="192718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setext.com/case/goodman-v-summit-at-west-rim-ltd" TargetMode="External"/><Relationship Id="rId13" Type="http://schemas.openxmlformats.org/officeDocument/2006/relationships/hyperlink" Target="https://casetext.com/case/estate-of-york-in-r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asetext.com/case/johnson-v-johnson-5127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asetext.com/case/goodman-v-summit-at-west-rim-lt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asetext.com/case/smiths-inc-v-sheffield?q=&amp;p=1&amp;tab=keyword&amp;jxs=5cir,tx&amp;sort=relevance&amp;type=case&amp;within=%22estate%20is%20an%20indispensable%20party%22&amp;resultsNav=false" TargetMode="External"/><Relationship Id="rId4" Type="http://schemas.openxmlformats.org/officeDocument/2006/relationships/settings" Target="settings.xml"/><Relationship Id="rId9" Type="http://schemas.openxmlformats.org/officeDocument/2006/relationships/hyperlink" Target="https://casetext.com/statute/texas-codes/estates-code/title-2-estates-of-decedents-durable-powers-of-attorney/subtitle-a-scope-jurisdiction-venue-and-courts/chapter-32-jurisdiction/section-32001-general-probate-court-jurisdiction-appeals" TargetMode="External"/><Relationship Id="rId14" Type="http://schemas.openxmlformats.org/officeDocument/2006/relationships/hyperlink" Target="mailto:occurtis@sbcgloabal.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3355</TotalTime>
  <Pages>12</Pages>
  <Words>4892</Words>
  <Characters>27887</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Jurisdiction</vt:lpstr>
      <vt:lpstr>Relevant Facts</vt:lpstr>
      <vt:lpstr>    The Estate of Elmer H. Brunsting No. 412248</vt:lpstr>
      <vt:lpstr>    The Estate of Nelva E. Brunsting No. 412249</vt:lpstr>
      <vt:lpstr>    The Estate of Nelva E. Brunsting No. 412249-401</vt:lpstr>
      <vt:lpstr>Jurisdiction over Inter Vivos Trusts</vt:lpstr>
      <vt:lpstr>Statutory Probate Court Jurisdiction</vt:lpstr>
      <vt:lpstr>    Limitations</vt:lpstr>
      <vt:lpstr>    Independent Administration</vt:lpstr>
      <vt:lpstr>    Texas Estates Code Chapter 402. Administration Subchapter A. General Provisions</vt:lpstr>
      <vt:lpstr>No Estate and No Executor</vt:lpstr>
      <vt:lpstr>    Resignation of Independent Executor</vt:lpstr>
      <vt:lpstr>Dominant Jurisdiction</vt:lpstr>
      <vt:lpstr>Single Nucleus of Operative Facts</vt:lpstr>
      <vt:lpstr>Causes and Orders Challenged</vt:lpstr>
      <vt:lpstr>    412248 Estate of Elmer H. Brunsting</vt:lpstr>
      <vt:lpstr>    412249 Estate of Nelva E. Brunsting</vt:lpstr>
      <vt:lpstr>    412,249-401 Carl Henry Brunsting, Individually and as Independent Executor of th</vt:lpstr>
      <vt:lpstr>    412,249-402 Who – What?</vt:lpstr>
      <vt:lpstr>Key Points</vt:lpstr>
      <vt:lpstr>Conclusion:</vt:lpstr>
      <vt:lpstr>PRAYER FOR RELIEF</vt:lpstr>
      <vt:lpstr>CERTIFICATE OF SERVICE</vt:lpstr>
      <vt:lpstr/>
    </vt:vector>
  </TitlesOfParts>
  <Company/>
  <LinksUpToDate>false</LinksUpToDate>
  <CharactersWithSpaces>32714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MikRonson@att.net</dc:creator>
  <cp:lastModifiedBy>MikRonson@att.net</cp:lastModifiedBy>
  <cp:revision>41</cp:revision>
  <cp:lastPrinted>2025-05-23T01:13:00Z</cp:lastPrinted>
  <dcterms:created xsi:type="dcterms:W3CDTF">2025-05-22T00:26:00Z</dcterms:created>
  <dcterms:modified xsi:type="dcterms:W3CDTF">2025-06-21T20:12:00Z</dcterms:modified>
</cp:coreProperties>
</file>